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30E82"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7D69C3" w:rsidRPr="007D69C3">
        <w:rPr>
          <w:rFonts w:cs="Arial"/>
          <w:i w:val="0"/>
          <w:color w:val="000000"/>
          <w:lang w:eastAsia="es-ES"/>
        </w:rPr>
        <w:t xml:space="preserve">(037AH19PR) Construcción de 39 cuartos dormitorios (15.10 m2), en distintas localidades de la Sindicatura Higuera de Zaragoza, Ampliación Col. Ejidal (1), Bolsa de </w:t>
      </w:r>
      <w:proofErr w:type="spellStart"/>
      <w:r w:rsidR="007D69C3" w:rsidRPr="007D69C3">
        <w:rPr>
          <w:rFonts w:cs="Arial"/>
          <w:i w:val="0"/>
          <w:color w:val="000000"/>
          <w:lang w:eastAsia="es-ES"/>
        </w:rPr>
        <w:t>Tosalibampo</w:t>
      </w:r>
      <w:proofErr w:type="spellEnd"/>
      <w:r w:rsidR="007D69C3" w:rsidRPr="007D69C3">
        <w:rPr>
          <w:rFonts w:cs="Arial"/>
          <w:i w:val="0"/>
          <w:color w:val="000000"/>
          <w:lang w:eastAsia="es-ES"/>
        </w:rPr>
        <w:t xml:space="preserve"> No. 1 (6), Campo Pesquero Jitzamuri (6), Col. Ejidal (4), Col. Gloria Ochoa de Labastida (6), El Refugio (7), Las Grullas Margen Derecha (4), San Isidro (3), </w:t>
      </w:r>
      <w:proofErr w:type="spellStart"/>
      <w:r w:rsidR="007D69C3" w:rsidRPr="007D69C3">
        <w:rPr>
          <w:rFonts w:cs="Arial"/>
          <w:i w:val="0"/>
          <w:color w:val="000000"/>
          <w:lang w:eastAsia="es-ES"/>
        </w:rPr>
        <w:t>Matacahui</w:t>
      </w:r>
      <w:proofErr w:type="spellEnd"/>
      <w:r w:rsidR="007D69C3" w:rsidRPr="007D69C3">
        <w:rPr>
          <w:rFonts w:cs="Arial"/>
          <w:i w:val="0"/>
          <w:color w:val="000000"/>
          <w:lang w:eastAsia="es-ES"/>
        </w:rPr>
        <w:t xml:space="preserve"> (2), Municipio de Ahome, Sinaloa.</w:t>
      </w:r>
    </w:p>
    <w:p w:rsidR="00CC2B72" w:rsidRPr="00857388" w:rsidRDefault="00CC2B7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II.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857388">
        <w:rPr>
          <w:rFonts w:eastAsia="Calibri" w:cs="Arial"/>
          <w:i w:val="0"/>
        </w:rPr>
        <w:t>III.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A46A83">
        <w:rPr>
          <w:rFonts w:cs="Arial"/>
          <w:b/>
          <w:i w:val="0"/>
          <w:sz w:val="20"/>
          <w:highlight w:val="yellow"/>
        </w:rPr>
        <w:t>INVITACIÓN A CUA</w:t>
      </w:r>
      <w:r w:rsidR="00C65981" w:rsidRPr="00A46A83">
        <w:rPr>
          <w:rFonts w:cs="Arial"/>
          <w:b/>
          <w:i w:val="0"/>
          <w:sz w:val="20"/>
          <w:highlight w:val="yellow"/>
        </w:rPr>
        <w:t xml:space="preserve">NDO MENOS TRES </w:t>
      </w:r>
      <w:r w:rsidR="00461C0D" w:rsidRPr="00A46A83">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7C7243">
        <w:rPr>
          <w:rFonts w:cs="Arial"/>
          <w:b/>
          <w:i w:val="0"/>
          <w:noProof/>
          <w:color w:val="000000"/>
          <w:sz w:val="20"/>
          <w:highlight w:val="yellow"/>
        </w:rPr>
        <w:t>5</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7C7243">
        <w:rPr>
          <w:rFonts w:cs="Arial"/>
          <w:b/>
          <w:i w:val="0"/>
          <w:sz w:val="20"/>
          <w:highlight w:val="yellow"/>
        </w:rPr>
        <w:t>03 de Mayo</w:t>
      </w:r>
      <w:r w:rsidR="000C279B">
        <w:rPr>
          <w:rFonts w:cs="Arial"/>
          <w:b/>
          <w:i w:val="0"/>
          <w:sz w:val="20"/>
          <w:highlight w:val="yellow"/>
        </w:rPr>
        <w:t xml:space="preserve"> </w:t>
      </w:r>
      <w:proofErr w:type="spellStart"/>
      <w:r w:rsidR="00D92CFF" w:rsidRPr="00857388">
        <w:rPr>
          <w:rFonts w:cs="Arial"/>
          <w:b/>
          <w:i w:val="0"/>
          <w:sz w:val="20"/>
          <w:highlight w:val="yellow"/>
        </w:rPr>
        <w:t>de</w:t>
      </w:r>
      <w:proofErr w:type="spellEnd"/>
      <w:r w:rsidR="00D92CFF" w:rsidRPr="00857388">
        <w:rPr>
          <w:rFonts w:cs="Arial"/>
          <w:b/>
          <w:i w:val="0"/>
          <w:sz w:val="20"/>
          <w:highlight w:val="yellow"/>
        </w:rPr>
        <w:t xml:space="preserv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 xml:space="preserve">FONDO DE APORTACIONES PARA LA INFRAESTRUCTURA SOCIAL MUNICIPAL DE LAS DEMARCACIONES TERRITORIALES DEL DISTRITO FEDERAL APROBADOS CON OFICIO NO. </w:t>
      </w:r>
      <w:r w:rsidR="003A2F7A">
        <w:rPr>
          <w:rFonts w:cs="Arial"/>
          <w:b/>
          <w:i w:val="0"/>
          <w:highlight w:val="yellow"/>
        </w:rPr>
        <w:t>FISMDF-0281</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CC2B72" w:rsidRDefault="000D0CBF" w:rsidP="00CC2B72">
      <w:pPr>
        <w:pStyle w:val="Encabezado"/>
        <w:jc w:val="both"/>
        <w:rPr>
          <w:rFonts w:cs="Arial"/>
          <w:i w:val="0"/>
          <w:color w:val="000000"/>
          <w:lang w:val="es-ES_tradnl" w:eastAsia="es-ES"/>
        </w:rPr>
      </w:pPr>
      <w:r w:rsidRPr="00857388">
        <w:rPr>
          <w:rFonts w:cs="Arial"/>
          <w:i w:val="0"/>
        </w:rPr>
        <w:t xml:space="preserve">La obra pública, a base de precios unitarios y tiempo determinado, objeto de </w:t>
      </w:r>
      <w:r w:rsidR="00B35288" w:rsidRPr="00857388">
        <w:rPr>
          <w:rFonts w:cs="Arial"/>
          <w:i w:val="0"/>
        </w:rPr>
        <w:t>este proceso de contratación por invitación a cuando menos tres personas</w:t>
      </w:r>
      <w:r w:rsidRPr="00857388">
        <w:rPr>
          <w:rFonts w:cs="Arial"/>
          <w:i w:val="0"/>
        </w:rPr>
        <w:t>, consistirá en</w:t>
      </w:r>
      <w:r w:rsidR="00D468C3" w:rsidRPr="00857388">
        <w:rPr>
          <w:rFonts w:cs="Arial"/>
          <w:i w:val="0"/>
          <w:noProof/>
          <w:lang w:val="es-ES_tradnl"/>
        </w:rPr>
        <w:t xml:space="preserve"> </w:t>
      </w:r>
      <w:r w:rsidR="003A2F7A" w:rsidRPr="003A2F7A">
        <w:rPr>
          <w:rFonts w:cs="Arial"/>
          <w:b/>
          <w:i w:val="0"/>
          <w:color w:val="000000"/>
          <w:highlight w:val="yellow"/>
          <w:lang w:eastAsia="es-ES"/>
        </w:rPr>
        <w:t xml:space="preserve">(037AH19PR) Construcción de 39 cuartos dormitorios (15.10 m2), en distintas localidades de la Sindicatura Higuera de Zaragoza, Ampliación Col. Ejidal (1), Bolsa de </w:t>
      </w:r>
      <w:proofErr w:type="spellStart"/>
      <w:r w:rsidR="003A2F7A" w:rsidRPr="003A2F7A">
        <w:rPr>
          <w:rFonts w:cs="Arial"/>
          <w:b/>
          <w:i w:val="0"/>
          <w:color w:val="000000"/>
          <w:highlight w:val="yellow"/>
          <w:lang w:eastAsia="es-ES"/>
        </w:rPr>
        <w:t>Tosalibampo</w:t>
      </w:r>
      <w:proofErr w:type="spellEnd"/>
      <w:r w:rsidR="003A2F7A" w:rsidRPr="003A2F7A">
        <w:rPr>
          <w:rFonts w:cs="Arial"/>
          <w:b/>
          <w:i w:val="0"/>
          <w:color w:val="000000"/>
          <w:highlight w:val="yellow"/>
          <w:lang w:eastAsia="es-ES"/>
        </w:rPr>
        <w:t xml:space="preserve"> No. 1 (6), Campo Pesquero Jitzamuri (6), Col. Ejidal (4), Col. Gloria Ochoa de Labastida (6), El Refugio (7), Las Grullas Margen Derecha (4), San Isidro (3), </w:t>
      </w:r>
      <w:proofErr w:type="spellStart"/>
      <w:r w:rsidR="003A2F7A" w:rsidRPr="003A2F7A">
        <w:rPr>
          <w:rFonts w:cs="Arial"/>
          <w:b/>
          <w:i w:val="0"/>
          <w:color w:val="000000"/>
          <w:highlight w:val="yellow"/>
          <w:lang w:eastAsia="es-ES"/>
        </w:rPr>
        <w:t>Matacahui</w:t>
      </w:r>
      <w:proofErr w:type="spellEnd"/>
      <w:r w:rsidR="003A2F7A" w:rsidRPr="003A2F7A">
        <w:rPr>
          <w:rFonts w:cs="Arial"/>
          <w:b/>
          <w:i w:val="0"/>
          <w:color w:val="000000"/>
          <w:highlight w:val="yellow"/>
          <w:lang w:eastAsia="es-ES"/>
        </w:rPr>
        <w:t xml:space="preserve"> (2), Municipio de Ahome, Sinaloa.</w:t>
      </w:r>
      <w:r w:rsidR="00CC2B72">
        <w:rPr>
          <w:rFonts w:cs="Arial"/>
          <w:i w:val="0"/>
          <w:color w:val="000000"/>
          <w:lang w:val="es-ES_tradnl" w:eastAsia="es-ES"/>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466CF8">
        <w:rPr>
          <w:rFonts w:cs="Arial"/>
          <w:b/>
          <w:i w:val="0"/>
          <w:noProof/>
          <w:highlight w:val="yellow"/>
        </w:rPr>
        <w:t>2</w:t>
      </w:r>
      <w:r w:rsidR="000C279B">
        <w:rPr>
          <w:rFonts w:cs="Arial"/>
          <w:b/>
          <w:i w:val="0"/>
          <w:noProof/>
          <w:highlight w:val="yellow"/>
        </w:rPr>
        <w:t>3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466CF8">
        <w:rPr>
          <w:rFonts w:cs="Arial"/>
          <w:b/>
          <w:i w:val="0"/>
          <w:noProof/>
          <w:color w:val="000000"/>
          <w:highlight w:val="yellow"/>
        </w:rPr>
        <w:t>1</w:t>
      </w:r>
      <w:r w:rsidR="000C279B">
        <w:rPr>
          <w:rFonts w:cs="Arial"/>
          <w:b/>
          <w:i w:val="0"/>
          <w:noProof/>
          <w:color w:val="000000"/>
          <w:highlight w:val="yellow"/>
        </w:rPr>
        <w:t>9</w:t>
      </w:r>
      <w:r w:rsidR="00B4636B" w:rsidRPr="00857388">
        <w:rPr>
          <w:rFonts w:cs="Arial"/>
          <w:b/>
          <w:i w:val="0"/>
          <w:noProof/>
          <w:color w:val="000000"/>
          <w:highlight w:val="yellow"/>
        </w:rPr>
        <w:t xml:space="preserve"> de </w:t>
      </w:r>
      <w:r w:rsidR="000C279B">
        <w:rPr>
          <w:rFonts w:cs="Arial"/>
          <w:b/>
          <w:i w:val="0"/>
          <w:noProof/>
          <w:color w:val="000000"/>
          <w:highlight w:val="yellow"/>
        </w:rPr>
        <w:t xml:space="preserve">Septiembre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466CF8">
        <w:rPr>
          <w:rFonts w:cs="Arial"/>
          <w:b/>
          <w:i w:val="0"/>
          <w:highlight w:val="yellow"/>
        </w:rPr>
        <w:t>09 de Mayo</w:t>
      </w:r>
      <w:r w:rsidR="000C279B">
        <w:rPr>
          <w:rFonts w:cs="Arial"/>
          <w:b/>
          <w:i w:val="0"/>
          <w:highlight w:val="yellow"/>
        </w:rPr>
        <w:t xml:space="preserve">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7A6301">
        <w:rPr>
          <w:rFonts w:cs="Arial"/>
          <w:b/>
          <w:i w:val="0"/>
          <w:noProof/>
          <w:color w:val="000000"/>
          <w:highlight w:val="yellow"/>
        </w:rPr>
        <w:t>09</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7A6301">
        <w:rPr>
          <w:rFonts w:cs="Arial"/>
          <w:b/>
          <w:i w:val="0"/>
          <w:noProof/>
          <w:highlight w:val="yellow"/>
        </w:rPr>
        <w:t>10 de Mayo</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w:t>
            </w:r>
            <w:r w:rsidR="006720B7">
              <w:rPr>
                <w:rFonts w:cs="Arial"/>
                <w:b/>
                <w:i w:val="0"/>
              </w:rPr>
              <w:t xml:space="preserve"> </w:t>
            </w:r>
            <w:r w:rsidRPr="00857388">
              <w:rPr>
                <w:rFonts w:cs="Arial"/>
                <w:b/>
                <w:i w:val="0"/>
              </w:rPr>
              <w:t>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036EF5" w:rsidRPr="00857388" w:rsidRDefault="00036EF5"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FE29A2">
        <w:rPr>
          <w:rFonts w:cs="Arial"/>
          <w:b/>
          <w:i w:val="0"/>
          <w:highlight w:val="yellow"/>
        </w:rPr>
        <w:t>09</w:t>
      </w:r>
      <w:r w:rsidRPr="00857388">
        <w:rPr>
          <w:rFonts w:cs="Arial"/>
          <w:b/>
          <w:i w:val="0"/>
          <w:highlight w:val="yellow"/>
        </w:rPr>
        <w:t>:</w:t>
      </w:r>
      <w:r w:rsidR="00FE29A2">
        <w:rPr>
          <w:rFonts w:cs="Arial"/>
          <w:b/>
          <w:i w:val="0"/>
          <w:highlight w:val="yellow"/>
        </w:rPr>
        <w:t>0</w:t>
      </w:r>
      <w:r w:rsidRPr="00857388">
        <w:rPr>
          <w:rFonts w:cs="Arial"/>
          <w:b/>
          <w:i w:val="0"/>
          <w:highlight w:val="yellow"/>
        </w:rPr>
        <w:t>0</w:t>
      </w:r>
      <w:r w:rsidR="000C279B">
        <w:rPr>
          <w:rFonts w:cs="Arial"/>
          <w:b/>
          <w:i w:val="0"/>
        </w:rPr>
        <w:t xml:space="preserve"> horas, el día </w:t>
      </w:r>
      <w:r w:rsidR="00FE29A2">
        <w:rPr>
          <w:rFonts w:cs="Arial"/>
          <w:b/>
          <w:i w:val="0"/>
          <w:highlight w:val="yellow"/>
        </w:rPr>
        <w:t>17</w:t>
      </w:r>
      <w:r w:rsidR="00574825" w:rsidRPr="00574825">
        <w:rPr>
          <w:rFonts w:cs="Arial"/>
          <w:b/>
          <w:i w:val="0"/>
          <w:highlight w:val="yellow"/>
        </w:rPr>
        <w:t xml:space="preserve">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9F3095">
        <w:rPr>
          <w:rFonts w:cs="Arial"/>
          <w:b/>
          <w:bCs/>
          <w:i w:val="0"/>
          <w:color w:val="000000"/>
          <w:sz w:val="20"/>
          <w:highlight w:val="yellow"/>
        </w:rPr>
        <w:t>09</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9F3095">
        <w:rPr>
          <w:rFonts w:cs="Arial"/>
          <w:b/>
          <w:bCs/>
          <w:i w:val="0"/>
          <w:color w:val="000000"/>
          <w:sz w:val="20"/>
          <w:highlight w:val="yellow"/>
        </w:rPr>
        <w:t>20</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514A14" w:rsidRPr="00857388">
        <w:rPr>
          <w:rFonts w:cs="Arial"/>
          <w:b/>
          <w:bCs/>
          <w:i w:val="0"/>
          <w:color w:val="000000"/>
          <w:lang w:val="es-ES_tradnl"/>
        </w:rPr>
        <w:t>invitación a cuando menos tres personas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9F3095">
        <w:rPr>
          <w:rFonts w:cs="Arial"/>
          <w:b/>
          <w:bCs/>
          <w:i w:val="0"/>
          <w:color w:val="000000"/>
          <w:highlight w:val="yellow"/>
          <w:lang w:val="es-ES_tradnl"/>
        </w:rPr>
        <w:t>3</w:t>
      </w:r>
      <w:r w:rsidR="004B3B87" w:rsidRPr="00857388">
        <w:rPr>
          <w:rFonts w:cs="Arial"/>
          <w:b/>
          <w:bCs/>
          <w:i w:val="0"/>
          <w:color w:val="000000"/>
          <w:highlight w:val="yellow"/>
          <w:lang w:val="es-ES_tradnl"/>
        </w:rPr>
        <w:t>:</w:t>
      </w:r>
      <w:r w:rsidR="009F3095">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9F3095">
        <w:rPr>
          <w:rFonts w:cs="Arial"/>
          <w:b/>
          <w:bCs/>
          <w:i w:val="0"/>
          <w:color w:val="000000"/>
          <w:highlight w:val="yellow"/>
          <w:lang w:val="es-ES_tradnl"/>
        </w:rPr>
        <w:t>22</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7A7271">
        <w:rPr>
          <w:rFonts w:cs="Arial"/>
          <w:b/>
          <w:bCs/>
          <w:i w:val="0"/>
          <w:color w:val="000000"/>
          <w:highlight w:val="yellow"/>
          <w:lang w:val="es-ES_tradnl"/>
        </w:rPr>
        <w:t>3</w:t>
      </w:r>
      <w:r w:rsidR="000C279B">
        <w:rPr>
          <w:rFonts w:cs="Arial"/>
          <w:b/>
          <w:bCs/>
          <w:i w:val="0"/>
          <w:color w:val="000000"/>
          <w:highlight w:val="yellow"/>
          <w:lang w:val="es-ES_tradnl"/>
        </w:rPr>
        <w:t>:</w:t>
      </w:r>
      <w:r w:rsidR="007A7271">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7A7271">
        <w:rPr>
          <w:rFonts w:cs="Arial"/>
          <w:b/>
          <w:bCs/>
          <w:i w:val="0"/>
          <w:color w:val="000000"/>
          <w:highlight w:val="yellow"/>
          <w:lang w:val="es-ES_tradnl"/>
        </w:rPr>
        <w:t>22</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FF00B7">
        <w:rPr>
          <w:rFonts w:cs="Arial"/>
          <w:b/>
          <w:color w:val="000000"/>
          <w:sz w:val="20"/>
          <w:highlight w:val="yellow"/>
        </w:rPr>
        <w:t>contraloria@ahome</w:t>
      </w:r>
      <w:r w:rsidR="00FE250C" w:rsidRPr="00FF00B7">
        <w:rPr>
          <w:rFonts w:cs="Arial"/>
          <w:b/>
          <w:color w:val="000000"/>
          <w:sz w:val="20"/>
          <w:highlight w:val="yellow"/>
        </w:rPr>
        <w:t>digital</w:t>
      </w:r>
      <w:r w:rsidRPr="00FF00B7">
        <w:rPr>
          <w:rFonts w:cs="Arial"/>
          <w:b/>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194031" w:rsidRPr="00857388" w:rsidRDefault="00194031" w:rsidP="004B3B87">
      <w:pPr>
        <w:jc w:val="both"/>
        <w:rPr>
          <w:rFonts w:cs="Arial"/>
          <w:i w:val="0"/>
        </w:rPr>
      </w:pPr>
    </w:p>
    <w:p w:rsidR="00194031" w:rsidRPr="00194031" w:rsidRDefault="00194031" w:rsidP="00194031"/>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B04EB7" w:rsidRPr="00857388" w:rsidRDefault="00B04EB7"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B04EB7" w:rsidRPr="00857388" w:rsidRDefault="00B04EB7"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E2265A">
        <w:rPr>
          <w:rFonts w:cs="Arial"/>
          <w:b/>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5D2406">
        <w:rPr>
          <w:rFonts w:cs="Arial"/>
          <w:b/>
          <w:i w:val="0"/>
          <w:highlight w:val="yellow"/>
          <w:lang w:val="es-ES"/>
        </w:rPr>
        <w:t>03 de Mayo</w:t>
      </w:r>
      <w:r w:rsidR="000C279B" w:rsidRPr="00E2265A">
        <w:rPr>
          <w:rFonts w:cs="Arial"/>
          <w:b/>
          <w:i w:val="0"/>
          <w:highlight w:val="yellow"/>
          <w:lang w:val="es-ES"/>
        </w:rPr>
        <w:t xml:space="preserve"> </w:t>
      </w:r>
      <w:r w:rsidR="002A365E" w:rsidRPr="00E2265A">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532C13">
        <w:rPr>
          <w:rFonts w:cs="Arial"/>
          <w:i w:val="0"/>
          <w:lang w:val="es-ES"/>
        </w:rPr>
        <w:t>________________________</w:t>
      </w:r>
      <w:r w:rsidR="00B04EB7">
        <w:rPr>
          <w:rFonts w:cs="Arial"/>
          <w:i w:val="0"/>
          <w:lang w:val="es-ES"/>
        </w:rPr>
        <w:t>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26" w:rsidRDefault="00503726">
      <w:r>
        <w:separator/>
      </w:r>
    </w:p>
  </w:endnote>
  <w:endnote w:type="continuationSeparator" w:id="0">
    <w:p w:rsidR="00503726" w:rsidRDefault="00503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C3" w:rsidRDefault="007D69C3"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7D69C3" w:rsidRDefault="007D69C3">
    <w:pPr>
      <w:ind w:right="360"/>
      <w:jc w:val="right"/>
      <w:rPr>
        <w:rStyle w:val="Nmerodepgina"/>
      </w:rPr>
    </w:pPr>
  </w:p>
  <w:p w:rsidR="007D69C3" w:rsidRDefault="007D69C3">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C3" w:rsidRPr="00370863" w:rsidRDefault="007D69C3"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CONC-FISMDF-DGOYSP-DOP-05-19</w:t>
    </w:r>
  </w:p>
  <w:p w:rsidR="007D69C3" w:rsidRDefault="007D69C3" w:rsidP="007D69C3">
    <w:pPr>
      <w:pStyle w:val="Textoindependiente31"/>
      <w:rPr>
        <w:rFonts w:cs="Arial"/>
        <w:i w:val="0"/>
        <w:color w:val="000000"/>
        <w:sz w:val="14"/>
        <w:szCs w:val="14"/>
        <w:lang w:eastAsia="es-ES"/>
      </w:rPr>
    </w:pPr>
    <w:r>
      <w:rPr>
        <w:rFonts w:cs="Arial"/>
        <w:i w:val="0"/>
        <w:color w:val="000000"/>
        <w:sz w:val="14"/>
        <w:szCs w:val="14"/>
        <w:lang w:eastAsia="es-ES"/>
      </w:rPr>
      <w:t>(037</w:t>
    </w:r>
    <w:r w:rsidRPr="00CC2B72">
      <w:rPr>
        <w:rFonts w:cs="Arial"/>
        <w:i w:val="0"/>
        <w:color w:val="000000"/>
        <w:sz w:val="14"/>
        <w:szCs w:val="14"/>
        <w:lang w:eastAsia="es-ES"/>
      </w:rPr>
      <w:t>AH19PR) Construcción de 39 cuartos dormitorios (15.10 m2), en distintas localidades de la Sindicatura</w:t>
    </w:r>
    <w:r>
      <w:rPr>
        <w:rFonts w:cs="Arial"/>
        <w:i w:val="0"/>
        <w:color w:val="000000"/>
        <w:sz w:val="14"/>
        <w:szCs w:val="14"/>
        <w:lang w:eastAsia="es-ES"/>
      </w:rPr>
      <w:t xml:space="preserve"> Higuera de Zaragoza, Ampliación Col. Ejidal (1), Bolsa de </w:t>
    </w:r>
    <w:proofErr w:type="spellStart"/>
    <w:r>
      <w:rPr>
        <w:rFonts w:cs="Arial"/>
        <w:i w:val="0"/>
        <w:color w:val="000000"/>
        <w:sz w:val="14"/>
        <w:szCs w:val="14"/>
        <w:lang w:eastAsia="es-ES"/>
      </w:rPr>
      <w:t>Tosalibampo</w:t>
    </w:r>
    <w:proofErr w:type="spellEnd"/>
    <w:r>
      <w:rPr>
        <w:rFonts w:cs="Arial"/>
        <w:i w:val="0"/>
        <w:color w:val="000000"/>
        <w:sz w:val="14"/>
        <w:szCs w:val="14"/>
        <w:lang w:eastAsia="es-ES"/>
      </w:rPr>
      <w:t xml:space="preserve"> No. 1 (6), Campo Pesquero Jitzamuri (6), Col. Ejidal (4), Col. Gloria Ochoa de Labastida (6), El Refugio (7), Las Grullas Margen Derecha (4), San Isidro (3), </w:t>
    </w:r>
    <w:proofErr w:type="spellStart"/>
    <w:r>
      <w:rPr>
        <w:rFonts w:cs="Arial"/>
        <w:i w:val="0"/>
        <w:color w:val="000000"/>
        <w:sz w:val="14"/>
        <w:szCs w:val="14"/>
        <w:lang w:eastAsia="es-ES"/>
      </w:rPr>
      <w:t>Matacahui</w:t>
    </w:r>
    <w:proofErr w:type="spellEnd"/>
    <w:r>
      <w:rPr>
        <w:rFonts w:cs="Arial"/>
        <w:i w:val="0"/>
        <w:color w:val="000000"/>
        <w:sz w:val="14"/>
        <w:szCs w:val="14"/>
        <w:lang w:eastAsia="es-ES"/>
      </w:rPr>
      <w:t xml:space="preserve"> (2),</w:t>
    </w:r>
    <w:r w:rsidRPr="00CC2B72">
      <w:rPr>
        <w:rFonts w:cs="Arial"/>
        <w:i w:val="0"/>
        <w:color w:val="000000"/>
        <w:sz w:val="14"/>
        <w:szCs w:val="14"/>
        <w:lang w:eastAsia="es-ES"/>
      </w:rPr>
      <w:t xml:space="preserve"> Municipio de Ahome, Sinaloa.</w:t>
    </w:r>
  </w:p>
  <w:p w:rsidR="007D69C3" w:rsidRPr="00973D16" w:rsidRDefault="007D69C3"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5D2406">
      <w:rPr>
        <w:rStyle w:val="Nmerodepgina"/>
        <w:b/>
        <w:i w:val="0"/>
        <w:noProof/>
        <w:szCs w:val="16"/>
      </w:rPr>
      <w:t>- 8 -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5D2406">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C3" w:rsidRDefault="007D69C3"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7D69C3" w:rsidRDefault="007D69C3">
    <w:pPr>
      <w:ind w:right="360"/>
      <w:jc w:val="right"/>
      <w:rPr>
        <w:rStyle w:val="Nmerodepgina"/>
      </w:rPr>
    </w:pPr>
  </w:p>
  <w:p w:rsidR="007D69C3" w:rsidRDefault="007D69C3">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C3" w:rsidRPr="00370863" w:rsidRDefault="007D69C3"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7D69C3" w:rsidRPr="006D79A7" w:rsidRDefault="007D69C3"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7D69C3" w:rsidRPr="00973D16" w:rsidRDefault="007D69C3"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26" w:rsidRDefault="00503726">
      <w:r>
        <w:separator/>
      </w:r>
    </w:p>
  </w:footnote>
  <w:footnote w:type="continuationSeparator" w:id="0">
    <w:p w:rsidR="00503726" w:rsidRDefault="00503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7D69C3">
      <w:trPr>
        <w:cantSplit/>
        <w:trHeight w:val="1151"/>
      </w:trPr>
      <w:tc>
        <w:tcPr>
          <w:tcW w:w="9627" w:type="dxa"/>
        </w:tcPr>
        <w:p w:rsidR="007D69C3" w:rsidRPr="00D00CA9" w:rsidRDefault="007D69C3" w:rsidP="00031E7A">
          <w:pPr>
            <w:pStyle w:val="Ttulo5"/>
            <w:rPr>
              <w:b/>
              <w:i w:val="0"/>
              <w:sz w:val="20"/>
            </w:rPr>
          </w:pPr>
          <w:r>
            <w:rPr>
              <w:b/>
              <w:i w:val="0"/>
              <w:sz w:val="20"/>
            </w:rPr>
            <w:t>MUNICIPIO DE AHOME</w:t>
          </w:r>
        </w:p>
        <w:p w:rsidR="007D69C3" w:rsidRPr="00D00CA9" w:rsidRDefault="007D69C3" w:rsidP="00031E7A">
          <w:pPr>
            <w:pStyle w:val="Ttulo5"/>
            <w:rPr>
              <w:b/>
              <w:i w:val="0"/>
              <w:sz w:val="10"/>
              <w:szCs w:val="10"/>
            </w:rPr>
          </w:pPr>
        </w:p>
        <w:p w:rsidR="007D69C3" w:rsidRPr="00D00CA9" w:rsidRDefault="007D69C3" w:rsidP="00031E7A">
          <w:pPr>
            <w:pStyle w:val="Ttulo5"/>
            <w:rPr>
              <w:b/>
              <w:i w:val="0"/>
              <w:sz w:val="20"/>
            </w:rPr>
          </w:pPr>
          <w:r>
            <w:rPr>
              <w:b/>
              <w:i w:val="0"/>
              <w:sz w:val="20"/>
            </w:rPr>
            <w:t>DIRECCIÓN GENERAL DE OBRAS Y SERVICIOS PÚBLICOS</w:t>
          </w:r>
        </w:p>
        <w:p w:rsidR="007D69C3" w:rsidRPr="00D00CA9" w:rsidRDefault="007D69C3" w:rsidP="00031E7A">
          <w:pPr>
            <w:pStyle w:val="Ttulo5"/>
            <w:rPr>
              <w:b/>
              <w:i w:val="0"/>
              <w:sz w:val="10"/>
              <w:szCs w:val="10"/>
            </w:rPr>
          </w:pPr>
        </w:p>
        <w:p w:rsidR="007D69C3" w:rsidRPr="00D00CA9" w:rsidRDefault="007D69C3" w:rsidP="00031E7A">
          <w:pPr>
            <w:jc w:val="center"/>
            <w:rPr>
              <w:b/>
              <w:i w:val="0"/>
              <w:sz w:val="10"/>
              <w:szCs w:val="10"/>
              <w:lang w:val="es-ES_tradnl"/>
            </w:rPr>
          </w:pPr>
        </w:p>
        <w:p w:rsidR="007D69C3" w:rsidRDefault="007D69C3" w:rsidP="00031E7A">
          <w:pPr>
            <w:pStyle w:val="Ttulo5"/>
            <w:rPr>
              <w:b/>
              <w:i w:val="0"/>
              <w:color w:val="000000"/>
              <w:sz w:val="20"/>
            </w:rPr>
          </w:pPr>
          <w:r>
            <w:rPr>
              <w:b/>
              <w:i w:val="0"/>
              <w:color w:val="000000"/>
              <w:sz w:val="20"/>
            </w:rPr>
            <w:t>INVITACIÓN A CUANDO MENOS TRES PERSONAS</w:t>
          </w:r>
        </w:p>
        <w:p w:rsidR="007D69C3" w:rsidRPr="00D00CA9" w:rsidRDefault="007D69C3"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CONC-FISMDF-DGOYSP-DOP-05-19</w:t>
          </w:r>
        </w:p>
        <w:p w:rsidR="007D69C3" w:rsidRDefault="007D69C3" w:rsidP="00031E7A">
          <w:pPr>
            <w:pStyle w:val="Ttulo5"/>
            <w:rPr>
              <w:b/>
              <w:i w:val="0"/>
              <w:sz w:val="20"/>
            </w:rPr>
          </w:pPr>
          <w:r w:rsidRPr="00D00CA9">
            <w:rPr>
              <w:b/>
              <w:i w:val="0"/>
              <w:sz w:val="20"/>
            </w:rPr>
            <w:t>BASES DE OBRA PÚBLICA</w:t>
          </w:r>
        </w:p>
        <w:p w:rsidR="007D69C3" w:rsidRPr="004D5995" w:rsidRDefault="007D69C3" w:rsidP="00031E7A">
          <w:pPr>
            <w:jc w:val="center"/>
            <w:rPr>
              <w:b/>
              <w:i w:val="0"/>
              <w:lang w:val="es-ES_tradnl"/>
            </w:rPr>
          </w:pPr>
          <w:r w:rsidRPr="004D5995">
            <w:rPr>
              <w:b/>
              <w:i w:val="0"/>
              <w:lang w:val="es-ES_tradnl"/>
            </w:rPr>
            <w:t>(INSTRUCCIONES A LOS LICITANTES)</w:t>
          </w:r>
        </w:p>
      </w:tc>
    </w:tr>
  </w:tbl>
  <w:p w:rsidR="007D69C3" w:rsidRDefault="007D69C3"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C3" w:rsidRDefault="007D69C3"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7D69C3">
      <w:trPr>
        <w:cantSplit/>
        <w:trHeight w:val="1151"/>
      </w:trPr>
      <w:tc>
        <w:tcPr>
          <w:tcW w:w="9627" w:type="dxa"/>
        </w:tcPr>
        <w:p w:rsidR="007D69C3" w:rsidRPr="00D00CA9" w:rsidRDefault="007D69C3" w:rsidP="00031E7A">
          <w:pPr>
            <w:pStyle w:val="Ttulo5"/>
            <w:rPr>
              <w:b/>
              <w:i w:val="0"/>
              <w:sz w:val="20"/>
            </w:rPr>
          </w:pPr>
          <w:r>
            <w:rPr>
              <w:b/>
              <w:i w:val="0"/>
              <w:sz w:val="20"/>
            </w:rPr>
            <w:t>MUNICIPIO DE AHOME</w:t>
          </w:r>
        </w:p>
        <w:p w:rsidR="007D69C3" w:rsidRPr="00D00CA9" w:rsidRDefault="007D69C3" w:rsidP="00031E7A">
          <w:pPr>
            <w:pStyle w:val="Ttulo5"/>
            <w:rPr>
              <w:b/>
              <w:i w:val="0"/>
              <w:sz w:val="10"/>
              <w:szCs w:val="10"/>
            </w:rPr>
          </w:pPr>
        </w:p>
        <w:p w:rsidR="007D69C3" w:rsidRPr="00D00CA9" w:rsidRDefault="007D69C3" w:rsidP="00031E7A">
          <w:pPr>
            <w:pStyle w:val="Ttulo5"/>
            <w:rPr>
              <w:b/>
              <w:i w:val="0"/>
              <w:sz w:val="20"/>
            </w:rPr>
          </w:pPr>
          <w:r>
            <w:rPr>
              <w:b/>
              <w:i w:val="0"/>
              <w:sz w:val="20"/>
            </w:rPr>
            <w:t>DIRECCIÓN GENERAL DE OBRAS Y SERVICIOS PÚBLICOS</w:t>
          </w:r>
        </w:p>
        <w:p w:rsidR="007D69C3" w:rsidRPr="00D00CA9" w:rsidRDefault="007D69C3" w:rsidP="00031E7A">
          <w:pPr>
            <w:pStyle w:val="Ttulo5"/>
            <w:rPr>
              <w:b/>
              <w:i w:val="0"/>
              <w:sz w:val="10"/>
              <w:szCs w:val="10"/>
            </w:rPr>
          </w:pPr>
        </w:p>
        <w:p w:rsidR="007D69C3" w:rsidRPr="00D00CA9" w:rsidRDefault="007D69C3" w:rsidP="00031E7A">
          <w:pPr>
            <w:jc w:val="center"/>
            <w:rPr>
              <w:b/>
              <w:i w:val="0"/>
              <w:sz w:val="10"/>
              <w:szCs w:val="10"/>
              <w:lang w:val="es-ES_tradnl"/>
            </w:rPr>
          </w:pPr>
        </w:p>
        <w:p w:rsidR="007D69C3" w:rsidRDefault="007D69C3"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7D69C3" w:rsidRPr="00D00CA9" w:rsidRDefault="007D69C3"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7D69C3" w:rsidRDefault="007D69C3" w:rsidP="00031E7A">
          <w:pPr>
            <w:pStyle w:val="Ttulo5"/>
            <w:rPr>
              <w:b/>
              <w:i w:val="0"/>
              <w:sz w:val="20"/>
            </w:rPr>
          </w:pPr>
          <w:r w:rsidRPr="00D00CA9">
            <w:rPr>
              <w:b/>
              <w:i w:val="0"/>
              <w:sz w:val="20"/>
            </w:rPr>
            <w:t>BASES DE OBRA PÚBLICA</w:t>
          </w:r>
        </w:p>
        <w:p w:rsidR="007D69C3" w:rsidRPr="004D5995" w:rsidRDefault="007D69C3" w:rsidP="00031E7A">
          <w:pPr>
            <w:jc w:val="center"/>
            <w:rPr>
              <w:b/>
              <w:i w:val="0"/>
              <w:lang w:val="es-ES_tradnl"/>
            </w:rPr>
          </w:pPr>
          <w:r w:rsidRPr="004D5995">
            <w:rPr>
              <w:b/>
              <w:i w:val="0"/>
              <w:lang w:val="es-ES_tradnl"/>
            </w:rPr>
            <w:t>(INSTRUCCIONES A LOS LICITANTES)</w:t>
          </w:r>
        </w:p>
      </w:tc>
    </w:tr>
  </w:tbl>
  <w:p w:rsidR="007D69C3" w:rsidRDefault="007D69C3"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9C3" w:rsidRDefault="007D69C3"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36EF5"/>
    <w:rsid w:val="000451DA"/>
    <w:rsid w:val="0004690B"/>
    <w:rsid w:val="00051190"/>
    <w:rsid w:val="000552D8"/>
    <w:rsid w:val="0005584A"/>
    <w:rsid w:val="00055FD4"/>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4031"/>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1F5264"/>
    <w:rsid w:val="002000CF"/>
    <w:rsid w:val="0020126E"/>
    <w:rsid w:val="0020338B"/>
    <w:rsid w:val="00203C80"/>
    <w:rsid w:val="00203CF7"/>
    <w:rsid w:val="002048D1"/>
    <w:rsid w:val="0020557A"/>
    <w:rsid w:val="00205B9E"/>
    <w:rsid w:val="002073A8"/>
    <w:rsid w:val="002162C2"/>
    <w:rsid w:val="00216392"/>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2FFC"/>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63BE"/>
    <w:rsid w:val="00383970"/>
    <w:rsid w:val="003850A0"/>
    <w:rsid w:val="00386308"/>
    <w:rsid w:val="0039147B"/>
    <w:rsid w:val="00393531"/>
    <w:rsid w:val="00394B67"/>
    <w:rsid w:val="003A2F7A"/>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C0D"/>
    <w:rsid w:val="00461E97"/>
    <w:rsid w:val="004643FE"/>
    <w:rsid w:val="0046520F"/>
    <w:rsid w:val="00466CF8"/>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39A8"/>
    <w:rsid w:val="004F477A"/>
    <w:rsid w:val="004F4F2F"/>
    <w:rsid w:val="004F5247"/>
    <w:rsid w:val="004F6D6F"/>
    <w:rsid w:val="004F7DC6"/>
    <w:rsid w:val="00500B1F"/>
    <w:rsid w:val="005025E0"/>
    <w:rsid w:val="00503726"/>
    <w:rsid w:val="00503778"/>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406"/>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17793"/>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20B7"/>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1AE5"/>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7162"/>
    <w:rsid w:val="006E7D3E"/>
    <w:rsid w:val="006F185F"/>
    <w:rsid w:val="006F1CC0"/>
    <w:rsid w:val="006F4D7C"/>
    <w:rsid w:val="006F51C6"/>
    <w:rsid w:val="006F5DE5"/>
    <w:rsid w:val="007042FC"/>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301"/>
    <w:rsid w:val="007A6A41"/>
    <w:rsid w:val="007A7271"/>
    <w:rsid w:val="007A72E4"/>
    <w:rsid w:val="007B2393"/>
    <w:rsid w:val="007B3439"/>
    <w:rsid w:val="007B38A4"/>
    <w:rsid w:val="007C1C25"/>
    <w:rsid w:val="007C2B55"/>
    <w:rsid w:val="007C7243"/>
    <w:rsid w:val="007C7EA5"/>
    <w:rsid w:val="007D21B3"/>
    <w:rsid w:val="007D32E0"/>
    <w:rsid w:val="007D69C3"/>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5812"/>
    <w:rsid w:val="00844E00"/>
    <w:rsid w:val="00846658"/>
    <w:rsid w:val="008466D6"/>
    <w:rsid w:val="00851783"/>
    <w:rsid w:val="00854FC1"/>
    <w:rsid w:val="00856ABA"/>
    <w:rsid w:val="00857388"/>
    <w:rsid w:val="00857736"/>
    <w:rsid w:val="008622C3"/>
    <w:rsid w:val="00863342"/>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3095"/>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6A83"/>
    <w:rsid w:val="00A51823"/>
    <w:rsid w:val="00A5290C"/>
    <w:rsid w:val="00A55D55"/>
    <w:rsid w:val="00A56427"/>
    <w:rsid w:val="00A63A87"/>
    <w:rsid w:val="00A63C28"/>
    <w:rsid w:val="00A6416D"/>
    <w:rsid w:val="00A64529"/>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4EB7"/>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482B"/>
    <w:rsid w:val="00B44CAA"/>
    <w:rsid w:val="00B45263"/>
    <w:rsid w:val="00B4636B"/>
    <w:rsid w:val="00B46EB4"/>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103F"/>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08CF"/>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002F"/>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2B72"/>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0AA5"/>
    <w:rsid w:val="00DF559E"/>
    <w:rsid w:val="00DF788A"/>
    <w:rsid w:val="00E02200"/>
    <w:rsid w:val="00E027DC"/>
    <w:rsid w:val="00E043BB"/>
    <w:rsid w:val="00E05847"/>
    <w:rsid w:val="00E10F3B"/>
    <w:rsid w:val="00E13DD4"/>
    <w:rsid w:val="00E217CC"/>
    <w:rsid w:val="00E2265A"/>
    <w:rsid w:val="00E23B89"/>
    <w:rsid w:val="00E24159"/>
    <w:rsid w:val="00E2561C"/>
    <w:rsid w:val="00E274A7"/>
    <w:rsid w:val="00E30E82"/>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29A2"/>
    <w:rsid w:val="00FE386A"/>
    <w:rsid w:val="00FF00B7"/>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CC2B72"/>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7202-B23E-49C0-86E8-0044355C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45</Pages>
  <Words>22385</Words>
  <Characters>123119</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6</cp:revision>
  <cp:lastPrinted>2018-01-16T15:48:00Z</cp:lastPrinted>
  <dcterms:created xsi:type="dcterms:W3CDTF">2019-04-09T15:29:00Z</dcterms:created>
  <dcterms:modified xsi:type="dcterms:W3CDTF">2019-04-24T15:50:00Z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