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4A7D7E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y </w:t>
      </w:r>
      <w:r w:rsidR="000B51D4">
        <w:rPr>
          <w:rFonts w:cs="Arial"/>
          <w:i w:val="0"/>
          <w:sz w:val="16"/>
          <w:szCs w:val="16"/>
          <w:lang w:val="es-MX"/>
        </w:rPr>
        <w:t>S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>
        <w:rPr>
          <w:rFonts w:cs="Arial"/>
          <w:i w:val="0"/>
          <w:sz w:val="16"/>
          <w:szCs w:val="16"/>
          <w:lang w:val="es-MX"/>
        </w:rPr>
        <w:t>R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>
        <w:rPr>
          <w:rFonts w:cs="Arial"/>
          <w:i w:val="0"/>
          <w:sz w:val="16"/>
          <w:szCs w:val="16"/>
          <w:lang w:val="es-MX"/>
        </w:rPr>
        <w:t>M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ismas </w:t>
      </w:r>
      <w:r w:rsidRPr="004A7D7E">
        <w:rPr>
          <w:rFonts w:cs="Arial"/>
          <w:i w:val="0"/>
          <w:sz w:val="16"/>
          <w:szCs w:val="16"/>
          <w:lang w:val="es-MX"/>
        </w:rPr>
        <w:t xml:space="preserve">del Estado de Sinaloa, el </w:t>
      </w:r>
      <w:r w:rsidR="00A7415A" w:rsidRPr="004A7D7E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>
        <w:rPr>
          <w:rFonts w:cs="Arial"/>
          <w:i w:val="0"/>
          <w:sz w:val="16"/>
          <w:szCs w:val="16"/>
          <w:lang w:val="es-MX"/>
        </w:rPr>
        <w:t>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0C098C">
        <w:rPr>
          <w:rFonts w:cs="Arial"/>
          <w:i w:val="0"/>
          <w:sz w:val="16"/>
          <w:szCs w:val="16"/>
          <w:lang w:val="es-MX"/>
        </w:rPr>
        <w:t>Dirección de Desarrollo Urbano, Obras y Servicios Públicos Municipales</w:t>
      </w:r>
      <w:r w:rsidRPr="004A7D7E">
        <w:rPr>
          <w:rFonts w:cs="Arial"/>
          <w:i w:val="0"/>
          <w:sz w:val="16"/>
          <w:szCs w:val="16"/>
          <w:lang w:val="es-MX"/>
        </w:rPr>
        <w:t>,</w:t>
      </w:r>
      <w:r w:rsidR="00EC79DA" w:rsidRPr="004A7D7E">
        <w:rPr>
          <w:rFonts w:cs="Arial"/>
          <w:i w:val="0"/>
          <w:sz w:val="16"/>
          <w:szCs w:val="16"/>
          <w:lang w:val="es-MX"/>
        </w:rPr>
        <w:t xml:space="preserve"> </w:t>
      </w:r>
      <w:r w:rsidR="0046044D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r w:rsidR="000B51D4" w:rsidRPr="000B51D4">
        <w:rPr>
          <w:i w:val="0"/>
          <w:sz w:val="18"/>
        </w:rPr>
        <w:t>SDS/FISE/AUT-0015/2017</w:t>
      </w:r>
      <w:r w:rsidR="000B51D4">
        <w:rPr>
          <w:sz w:val="18"/>
        </w:rPr>
        <w:t xml:space="preserve"> </w:t>
      </w:r>
      <w:r w:rsidRPr="004A7D7E">
        <w:rPr>
          <w:rFonts w:cs="Arial"/>
          <w:i w:val="0"/>
          <w:sz w:val="16"/>
          <w:szCs w:val="16"/>
        </w:rPr>
        <w:t>de conformidad con lo siguiente:</w:t>
      </w: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EC79DA" w:rsidRPr="004A7D7E" w:rsidRDefault="000C098C" w:rsidP="00EC79DA">
            <w:pPr>
              <w:pStyle w:val="Ttulo5"/>
              <w:rPr>
                <w:rFonts w:cs="Arial"/>
                <w:b/>
                <w:i w:val="0"/>
                <w:sz w:val="16"/>
                <w:szCs w:val="16"/>
              </w:rPr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Pr="000C098C">
              <w:rPr>
                <w:rFonts w:cs="Arial"/>
                <w:b/>
                <w:sz w:val="16"/>
                <w:szCs w:val="16"/>
                <w:lang w:val="es-ES"/>
              </w:rPr>
              <w:t>FISE/COS/004/17</w:t>
            </w:r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09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10:00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12:00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271A64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08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0C098C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0C098C">
              <w:rPr>
                <w:rFonts w:cs="Arial"/>
                <w:bCs/>
                <w:sz w:val="16"/>
                <w:szCs w:val="16"/>
                <w:lang w:val="es-MX"/>
              </w:rPr>
              <w:t>CONSTRUCCION DE 22 CUARTOS DORMITORIOS EN LA COLONIA LAS LOMITAS, MUNICIPIO DE COSALA, SINALOA</w:t>
            </w:r>
            <w:r w:rsidR="0004717A" w:rsidRPr="000C098C">
              <w:rPr>
                <w:rFonts w:cs="Arial"/>
                <w:i w:val="0"/>
                <w:sz w:val="16"/>
                <w:szCs w:val="16"/>
              </w:rPr>
              <w:t>.</w:t>
            </w:r>
            <w:r w:rsidR="00FB3CF2" w:rsidRPr="000C098C">
              <w:rPr>
                <w:rFonts w:cs="Arial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0C098C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COL, LAS LOMITAS,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5E7E72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271A64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13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0C098C">
              <w:rPr>
                <w:rFonts w:cs="Arial"/>
                <w:i w:val="0"/>
                <w:sz w:val="16"/>
                <w:szCs w:val="16"/>
              </w:rPr>
              <w:t>9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271A64">
              <w:rPr>
                <w:rFonts w:cs="Arial"/>
                <w:i w:val="0"/>
                <w:sz w:val="16"/>
                <w:szCs w:val="16"/>
              </w:rPr>
              <w:t>11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12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7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Pr="004A7D7E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0C098C">
        <w:rPr>
          <w:i w:val="0"/>
          <w:sz w:val="16"/>
          <w:szCs w:val="16"/>
        </w:rPr>
        <w:t>Dirección de Desarrollo Urbano, Obras y Servicios Públicos Municipales, del H. Ayuntamiento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>calle Rosales y Leyva Solano 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9650001 Ext 23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D535A0">
        <w:rPr>
          <w:i w:val="0"/>
          <w:sz w:val="16"/>
          <w:szCs w:val="16"/>
        </w:rPr>
        <w:t>Dirección de Desarrollo Urbano, Obras y Servicios Públicos Municipales, del H. Ayuntamiento de Cosalá</w:t>
      </w:r>
      <w:r w:rsidR="00D535A0" w:rsidRPr="004A7D7E">
        <w:rPr>
          <w:i w:val="0"/>
          <w:sz w:val="16"/>
          <w:szCs w:val="16"/>
        </w:rPr>
        <w:t xml:space="preserve">, sito en </w:t>
      </w:r>
      <w:r w:rsidR="00D535A0">
        <w:rPr>
          <w:i w:val="0"/>
          <w:sz w:val="16"/>
          <w:szCs w:val="16"/>
        </w:rPr>
        <w:t>calle Rosales y Leyva Solano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  <w:bookmarkStart w:id="0" w:name="_GoBack"/>
      <w:bookmarkEnd w:id="0"/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Pr="004A7D7E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204701">
        <w:rPr>
          <w:rFonts w:cs="Arial"/>
          <w:i w:val="0"/>
          <w:iCs/>
          <w:sz w:val="16"/>
          <w:szCs w:val="16"/>
        </w:rPr>
        <w:t>24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204701">
        <w:rPr>
          <w:rFonts w:cs="Arial"/>
          <w:i w:val="0"/>
          <w:iCs/>
          <w:sz w:val="16"/>
          <w:szCs w:val="16"/>
        </w:rPr>
        <w:t>AGOSTO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9657EC" w:rsidRPr="004A7D7E">
        <w:rPr>
          <w:rFonts w:cs="Arial"/>
          <w:i w:val="0"/>
          <w:iCs/>
          <w:sz w:val="16"/>
          <w:szCs w:val="16"/>
        </w:rPr>
        <w:t>7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204701" w:rsidRDefault="0020470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 xml:space="preserve">DIRECTOR DE DESARROLLO URBANO, OBRAS Y </w:t>
      </w:r>
    </w:p>
    <w:p w:rsidR="003111F6" w:rsidRPr="004A7D7E" w:rsidRDefault="0020470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SERVICIOS PUBLICOS MUNICIPALES</w:t>
      </w:r>
      <w:r>
        <w:rPr>
          <w:rFonts w:cs="Arial"/>
          <w:i w:val="0"/>
          <w:iCs/>
          <w:sz w:val="16"/>
          <w:szCs w:val="16"/>
        </w:rPr>
        <w:br/>
        <w:t>H. AYUNTAMIENTO DE COSALA</w:t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204701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ING. MIGUEL SALCIDO SALAS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9C" w:rsidRDefault="0066279C">
      <w:r>
        <w:separator/>
      </w:r>
    </w:p>
  </w:endnote>
  <w:endnote w:type="continuationSeparator" w:id="0">
    <w:p w:rsidR="0066279C" w:rsidRDefault="0066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1303C3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1303C3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9C" w:rsidRDefault="0066279C">
      <w:r>
        <w:separator/>
      </w:r>
    </w:p>
  </w:footnote>
  <w:footnote w:type="continuationSeparator" w:id="0">
    <w:p w:rsidR="0066279C" w:rsidRDefault="0066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7A02A8" w:rsidRPr="001243F6" w:rsidRDefault="000B51D4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DIRECCION DE DESARROLLO URBANO, OBRAS Y SERVICIOS PUBLICOS MUNICIPALES</w:t>
          </w:r>
          <w:r w:rsidR="00796C91"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001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B09"/>
    <w:rsid w:val="00DC5101"/>
    <w:rsid w:val="00DD1700"/>
    <w:rsid w:val="00DD1853"/>
    <w:rsid w:val="00DD4C27"/>
    <w:rsid w:val="00DD54C2"/>
    <w:rsid w:val="00DE6DE4"/>
    <w:rsid w:val="00DF085E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BAC35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8287-9F71-4073-898C-5D9CBE2C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5</cp:revision>
  <cp:lastPrinted>2017-07-22T19:37:00Z</cp:lastPrinted>
  <dcterms:created xsi:type="dcterms:W3CDTF">2017-08-24T18:20:00Z</dcterms:created>
  <dcterms:modified xsi:type="dcterms:W3CDTF">2017-08-24T20:51:00Z</dcterms:modified>
</cp:coreProperties>
</file>