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BB1485" w:rsidRPr="00BB1485">
        <w:rPr>
          <w:rFonts w:cs="Arial"/>
          <w:i w:val="0"/>
          <w:color w:val="000000"/>
          <w:lang w:eastAsia="es-ES"/>
        </w:rPr>
        <w:t>(001AH19PR) Construcción de 1,200 M2 de techo firme para mejoramiento de viviendas, en distintas localidades de la Sindicatura Ahome,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2"/>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C65981" w:rsidRPr="00857388" w:rsidRDefault="00C65981" w:rsidP="00C65981">
      <w:pPr>
        <w:jc w:val="both"/>
        <w:rPr>
          <w:rFonts w:eastAsia="Calibri" w:cs="Arial"/>
          <w:i w:val="0"/>
        </w:rPr>
      </w:pPr>
      <w:r w:rsidRPr="006E60E6">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724106">
        <w:rPr>
          <w:rFonts w:cs="Arial"/>
          <w:b/>
          <w:i w:val="0"/>
          <w:noProof/>
          <w:color w:val="000000"/>
          <w:sz w:val="20"/>
          <w:highlight w:val="yellow"/>
        </w:rPr>
        <w:t>2</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854142">
        <w:rPr>
          <w:rFonts w:cs="Arial"/>
          <w:b/>
          <w:i w:val="0"/>
          <w:sz w:val="20"/>
          <w:highlight w:val="yellow"/>
        </w:rPr>
        <w:t>27</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2"/>
        <w:rPr>
          <w:rFonts w:cs="Arial"/>
          <w:i w:val="0"/>
          <w:sz w:val="20"/>
        </w:rPr>
      </w:pPr>
    </w:p>
    <w:p w:rsidR="000D0CBF"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684FA0" w:rsidRDefault="00684FA0"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684FA0">
        <w:rPr>
          <w:rFonts w:cs="Arial"/>
          <w:b/>
          <w:i w:val="0"/>
          <w:highlight w:val="yellow"/>
        </w:rPr>
        <w:t>FISMDF-0244</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684FA0" w:rsidRPr="00684FA0">
        <w:rPr>
          <w:rFonts w:cs="Arial"/>
          <w:b/>
          <w:i w:val="0"/>
          <w:color w:val="000000"/>
          <w:highlight w:val="yellow"/>
          <w:lang w:eastAsia="es-ES"/>
        </w:rPr>
        <w:t>(001AH19PR) Construcción de 1,200 M2 de techo firme para mejoramiento de viviendas, en distintas localidades de la Sindicatura Ahome,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FA1DEC">
        <w:rPr>
          <w:rFonts w:cs="Arial"/>
          <w:b/>
          <w:i w:val="0"/>
          <w:highlight w:val="yellow"/>
        </w:rPr>
        <w:t>90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252E3D">
        <w:rPr>
          <w:rFonts w:cs="Arial"/>
          <w:b/>
          <w:i w:val="0"/>
          <w:noProof/>
          <w:highlight w:val="yellow"/>
        </w:rPr>
        <w:t>1</w:t>
      </w:r>
      <w:r w:rsidR="00545644">
        <w:rPr>
          <w:rFonts w:cs="Arial"/>
          <w:b/>
          <w:i w:val="0"/>
          <w:noProof/>
          <w:highlight w:val="yellow"/>
        </w:rPr>
        <w:t>7</w:t>
      </w:r>
      <w:r w:rsidR="00252E3D">
        <w:rPr>
          <w:rFonts w:cs="Arial"/>
          <w:b/>
          <w:i w:val="0"/>
          <w:noProof/>
          <w:highlight w:val="yellow"/>
        </w:rPr>
        <w:t xml:space="preserve"> de Juni</w:t>
      </w:r>
      <w:r w:rsidR="000C279B">
        <w:rPr>
          <w:rFonts w:cs="Arial"/>
          <w:b/>
          <w:i w:val="0"/>
          <w:noProof/>
          <w:highlight w:val="yellow"/>
        </w:rPr>
        <w:t>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2534CE">
        <w:rPr>
          <w:rFonts w:cs="Arial"/>
          <w:b/>
          <w:i w:val="0"/>
          <w:noProof/>
          <w:color w:val="000000"/>
          <w:highlight w:val="yellow"/>
        </w:rPr>
        <w:t>14 de Septiembre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5B4A0E">
        <w:rPr>
          <w:rFonts w:cs="Arial"/>
          <w:b/>
          <w:i w:val="0"/>
          <w:noProof/>
          <w:highlight w:val="yellow"/>
        </w:rPr>
        <w:t>90</w:t>
      </w:r>
      <w:r w:rsidRPr="00857388">
        <w:rPr>
          <w:rFonts w:cs="Arial"/>
          <w:b/>
          <w:i w:val="0"/>
          <w:color w:val="000000"/>
          <w:highlight w:val="yellow"/>
        </w:rPr>
        <w:t xml:space="preserve"> (</w:t>
      </w:r>
      <w:r w:rsidR="005B4A0E">
        <w:rPr>
          <w:rFonts w:cs="Arial"/>
          <w:b/>
          <w:i w:val="0"/>
          <w:color w:val="000000"/>
          <w:highlight w:val="yellow"/>
        </w:rPr>
        <w:t>noventa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r w:rsidRPr="00857388">
        <w:rPr>
          <w:rFonts w:cs="Arial"/>
          <w:i w:val="0"/>
        </w:rPr>
        <w:lastRenderedPageBreak/>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1E1B16">
        <w:rPr>
          <w:rFonts w:cs="Arial"/>
          <w:b/>
          <w:i w:val="0"/>
          <w:highlight w:val="yellow"/>
        </w:rPr>
        <w:t>01 de Junio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51611E">
        <w:rPr>
          <w:rFonts w:cs="Arial"/>
          <w:b/>
          <w:i w:val="0"/>
          <w:noProof/>
          <w:color w:val="000000"/>
          <w:highlight w:val="yellow"/>
        </w:rPr>
        <w:t>1</w:t>
      </w:r>
      <w:r w:rsidR="00AA5B11">
        <w:rPr>
          <w:rFonts w:cs="Arial"/>
          <w:b/>
          <w:i w:val="0"/>
          <w:noProof/>
          <w:color w:val="000000"/>
          <w:highlight w:val="yellow"/>
        </w:rPr>
        <w:t>1</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76688">
        <w:rPr>
          <w:rFonts w:cs="Arial"/>
          <w:b/>
          <w:i w:val="0"/>
          <w:noProof/>
          <w:highlight w:val="yellow"/>
        </w:rPr>
        <w:t>03 de Juni</w:t>
      </w:r>
      <w:r w:rsidR="007A6301">
        <w:rPr>
          <w:rFonts w:cs="Arial"/>
          <w:b/>
          <w:i w:val="0"/>
          <w:noProof/>
          <w:highlight w:val="yellow"/>
        </w:rPr>
        <w:t>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w:t>
      </w:r>
      <w:r w:rsidRPr="00857388">
        <w:rPr>
          <w:rFonts w:cs="Arial"/>
          <w:i w:val="0"/>
        </w:rPr>
        <w:lastRenderedPageBreak/>
        <w:t>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lastRenderedPageBreak/>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BF1710" w:rsidRPr="00857388" w:rsidRDefault="00BF1710" w:rsidP="00C9033E">
      <w:pPr>
        <w:pStyle w:val="Textoindependiente2"/>
        <w:tabs>
          <w:tab w:val="left" w:pos="9356"/>
        </w:tabs>
        <w:rPr>
          <w:rFonts w:cs="Arial"/>
          <w:i w:val="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lastRenderedPageBreak/>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w:t>
            </w:r>
            <w:r w:rsidRPr="00857388">
              <w:rPr>
                <w:i w:val="0"/>
                <w:caps/>
                <w:sz w:val="20"/>
                <w:szCs w:val="20"/>
              </w:rPr>
              <w:lastRenderedPageBreak/>
              <w:t xml:space="preserve">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w:t>
            </w:r>
            <w:r w:rsidRPr="00857388">
              <w:rPr>
                <w:i w:val="0"/>
                <w:sz w:val="20"/>
                <w:szCs w:val="20"/>
              </w:rPr>
              <w:lastRenderedPageBreak/>
              <w:t xml:space="preserve">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601BB8" w:rsidRPr="00857388" w:rsidRDefault="00601BB8" w:rsidP="00681A11">
            <w:pPr>
              <w:pStyle w:val="Texto0"/>
              <w:spacing w:after="0" w:line="240" w:lineRule="auto"/>
              <w:ind w:firstLine="0"/>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lastRenderedPageBreak/>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776688"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Pr="00556FCA"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w:t>
            </w:r>
            <w:r w:rsidRPr="00857388">
              <w:rPr>
                <w:i w:val="0"/>
                <w:sz w:val="20"/>
                <w:szCs w:val="20"/>
                <w:highlight w:val="yellow"/>
              </w:rPr>
              <w:lastRenderedPageBreak/>
              <w:t xml:space="preserve">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lastRenderedPageBreak/>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9627B7" w:rsidRPr="00857388" w:rsidRDefault="009627B7" w:rsidP="00F849F4">
      <w:pPr>
        <w:pStyle w:val="Textoindependiente211"/>
        <w:ind w:left="0"/>
        <w:rPr>
          <w:rFonts w:cs="Arial"/>
          <w:i w:val="0"/>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w:t>
      </w:r>
      <w:r w:rsidRPr="00857388">
        <w:rPr>
          <w:rFonts w:cs="Arial"/>
          <w:i w:val="0"/>
          <w:lang w:val="es-ES"/>
        </w:rPr>
        <w:lastRenderedPageBreak/>
        <w:t xml:space="preserve">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 xml:space="preserve">En el acto de presentación y apertura de proposiciones, el representante común de la agrupación deberá señalar que la proposición se presenta en forma conjunta, incluyéndose el convenio privado mencionado </w:t>
      </w:r>
      <w:r w:rsidRPr="00857388">
        <w:rPr>
          <w:rFonts w:cs="Arial"/>
          <w:bCs/>
          <w:i w:val="0"/>
        </w:rPr>
        <w:lastRenderedPageBreak/>
        <w:t>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3B6980" w:rsidRDefault="003B6980"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Pr="00857388"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0D0CBF" w:rsidRPr="00857388" w:rsidRDefault="00BE58D3" w:rsidP="002717A6">
      <w:pPr>
        <w:jc w:val="both"/>
        <w:rPr>
          <w:rFonts w:cs="Arial"/>
          <w:bCs/>
          <w:i w:val="0"/>
        </w:rPr>
      </w:pPr>
      <w:r w:rsidRPr="00857388">
        <w:rPr>
          <w:rFonts w:cs="Arial"/>
          <w:bCs/>
          <w:i w:val="0"/>
        </w:rPr>
        <w:lastRenderedPageBreak/>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75046A">
        <w:rPr>
          <w:rFonts w:cs="Arial"/>
          <w:b/>
          <w:i w:val="0"/>
          <w:highlight w:val="yellow"/>
        </w:rPr>
        <w:t>1</w:t>
      </w:r>
      <w:r w:rsidR="00773656">
        <w:rPr>
          <w:rFonts w:cs="Arial"/>
          <w:b/>
          <w:i w:val="0"/>
          <w:highlight w:val="yellow"/>
        </w:rPr>
        <w:t>3</w:t>
      </w:r>
      <w:r w:rsidRPr="00857388">
        <w:rPr>
          <w:rFonts w:cs="Arial"/>
          <w:b/>
          <w:i w:val="0"/>
          <w:highlight w:val="yellow"/>
        </w:rPr>
        <w:t>:</w:t>
      </w:r>
      <w:r w:rsidR="00773656">
        <w:rPr>
          <w:rFonts w:cs="Arial"/>
          <w:b/>
          <w:i w:val="0"/>
          <w:highlight w:val="yellow"/>
        </w:rPr>
        <w:t>45</w:t>
      </w:r>
      <w:r w:rsidR="000C279B">
        <w:rPr>
          <w:rFonts w:cs="Arial"/>
          <w:b/>
          <w:i w:val="0"/>
        </w:rPr>
        <w:t xml:space="preserve"> horas, el día </w:t>
      </w:r>
      <w:r w:rsidR="009F1D35">
        <w:rPr>
          <w:rFonts w:cs="Arial"/>
          <w:b/>
          <w:i w:val="0"/>
          <w:highlight w:val="yellow"/>
        </w:rPr>
        <w:t>10</w:t>
      </w:r>
      <w:r w:rsidR="00BB73E5">
        <w:rPr>
          <w:rFonts w:cs="Arial"/>
          <w:b/>
          <w:i w:val="0"/>
          <w:highlight w:val="yellow"/>
        </w:rPr>
        <w:t xml:space="preserve"> de Junio</w:t>
      </w:r>
      <w:r w:rsidR="000C279B">
        <w:rPr>
          <w:rFonts w:cs="Arial"/>
          <w:b/>
          <w:i w:val="0"/>
          <w:highlight w:val="yellow"/>
        </w:rPr>
        <w:t xml:space="preserve">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lastRenderedPageBreak/>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C706A4">
        <w:rPr>
          <w:rFonts w:cs="Arial"/>
          <w:b/>
          <w:bCs/>
          <w:i w:val="0"/>
          <w:color w:val="000000"/>
          <w:sz w:val="20"/>
          <w:highlight w:val="yellow"/>
        </w:rPr>
        <w:t>12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A5D87">
        <w:rPr>
          <w:rFonts w:cs="Arial"/>
          <w:b/>
          <w:bCs/>
          <w:i w:val="0"/>
          <w:color w:val="000000"/>
          <w:sz w:val="20"/>
          <w:highlight w:val="yellow"/>
        </w:rPr>
        <w:t>12</w:t>
      </w:r>
      <w:r w:rsidR="00C213D4">
        <w:rPr>
          <w:rFonts w:cs="Arial"/>
          <w:b/>
          <w:bCs/>
          <w:i w:val="0"/>
          <w:color w:val="000000"/>
          <w:sz w:val="20"/>
          <w:highlight w:val="yellow"/>
        </w:rPr>
        <w:t xml:space="preserve"> de Juni</w:t>
      </w:r>
      <w:r w:rsidR="000C279B">
        <w:rPr>
          <w:rFonts w:cs="Arial"/>
          <w:b/>
          <w:bCs/>
          <w:i w:val="0"/>
          <w:color w:val="000000"/>
          <w:sz w:val="20"/>
          <w:highlight w:val="yellow"/>
        </w:rPr>
        <w:t xml:space="preserve">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1E0E03">
        <w:rPr>
          <w:rFonts w:cs="Arial"/>
          <w:b/>
          <w:bCs/>
          <w:i w:val="0"/>
          <w:color w:val="000000"/>
          <w:highlight w:val="yellow"/>
          <w:lang w:val="es-ES_tradnl"/>
        </w:rPr>
        <w:t>4</w:t>
      </w:r>
      <w:r w:rsidR="004B3B87" w:rsidRPr="00857388">
        <w:rPr>
          <w:rFonts w:cs="Arial"/>
          <w:b/>
          <w:bCs/>
          <w:i w:val="0"/>
          <w:color w:val="000000"/>
          <w:highlight w:val="yellow"/>
          <w:lang w:val="es-ES_tradnl"/>
        </w:rPr>
        <w:t>:</w:t>
      </w:r>
      <w:r w:rsidR="00C706A4">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18037E">
        <w:rPr>
          <w:rFonts w:cs="Arial"/>
          <w:b/>
          <w:bCs/>
          <w:i w:val="0"/>
          <w:color w:val="000000"/>
          <w:highlight w:val="yellow"/>
          <w:lang w:val="es-ES_tradnl"/>
        </w:rPr>
        <w:t>5</w:t>
      </w:r>
      <w:r w:rsidR="000C279B">
        <w:rPr>
          <w:rFonts w:cs="Arial"/>
          <w:b/>
          <w:bCs/>
          <w:i w:val="0"/>
          <w:color w:val="000000"/>
          <w:highlight w:val="yellow"/>
          <w:lang w:val="es-ES_tradnl"/>
        </w:rPr>
        <w:t>:</w:t>
      </w:r>
      <w:r w:rsidR="0018037E">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0065C">
        <w:rPr>
          <w:rFonts w:cs="Arial"/>
          <w:b/>
          <w:bCs/>
          <w:i w:val="0"/>
          <w:color w:val="000000"/>
          <w:highlight w:val="yellow"/>
          <w:lang w:val="es-ES_tradnl"/>
        </w:rPr>
        <w:t>14</w:t>
      </w:r>
      <w:r w:rsidR="00C213D4">
        <w:rPr>
          <w:rFonts w:cs="Arial"/>
          <w:b/>
          <w:bCs/>
          <w:i w:val="0"/>
          <w:color w:val="000000"/>
          <w:highlight w:val="yellow"/>
          <w:lang w:val="es-ES_tradnl"/>
        </w:rPr>
        <w:t xml:space="preserve"> de Juni</w:t>
      </w:r>
      <w:r w:rsidR="000C279B">
        <w:rPr>
          <w:rFonts w:cs="Arial"/>
          <w:b/>
          <w:bCs/>
          <w:i w:val="0"/>
          <w:color w:val="000000"/>
          <w:highlight w:val="yellow"/>
          <w:lang w:val="es-ES_tradnl"/>
        </w:rPr>
        <w:t xml:space="preserve">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w:t>
      </w:r>
      <w:r w:rsidRPr="00857388">
        <w:rPr>
          <w:rFonts w:cs="Arial"/>
          <w:bCs/>
          <w:i w:val="0"/>
        </w:rPr>
        <w:lastRenderedPageBreak/>
        <w:t xml:space="preserve">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lastRenderedPageBreak/>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lastRenderedPageBreak/>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lastRenderedPageBreak/>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lastRenderedPageBreak/>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lastRenderedPageBreak/>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lastRenderedPageBreak/>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A7382F" w:rsidRDefault="00A7382F" w:rsidP="004B3B87">
      <w:pPr>
        <w:pStyle w:val="inciso0"/>
        <w:spacing w:after="0" w:line="240" w:lineRule="auto"/>
        <w:ind w:left="284" w:firstLine="0"/>
        <w:rPr>
          <w:sz w:val="20"/>
          <w:szCs w:val="20"/>
          <w:lang w:val="pt-BR"/>
        </w:rPr>
      </w:pPr>
    </w:p>
    <w:p w:rsidR="004B3B87" w:rsidRPr="00385A64"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385A64" w:rsidRPr="00AD29FF" w:rsidRDefault="00385A64" w:rsidP="00385A64">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lastRenderedPageBreak/>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lastRenderedPageBreak/>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57388" w:rsidRDefault="000A20FB" w:rsidP="00644D72">
      <w:pPr>
        <w:jc w:val="both"/>
        <w:rPr>
          <w:rFonts w:cs="Aria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 xml:space="preserve">Para efectos de lo anterior, el licitante con quien se vaya a celebrar el contrato, previamente a su formalización, </w:t>
      </w:r>
      <w:r w:rsidRPr="00857388">
        <w:rPr>
          <w:rFonts w:eastAsia="Times New Roman" w:cs="Arial"/>
          <w:color w:val="000000"/>
          <w:sz w:val="20"/>
        </w:rPr>
        <w:lastRenderedPageBreak/>
        <w:t>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lastRenderedPageBreak/>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Default="00B3284C" w:rsidP="001C2FB2">
      <w:pPr>
        <w:ind w:left="567" w:hanging="567"/>
        <w:jc w:val="both"/>
        <w:rPr>
          <w:rFonts w:cs="Arial"/>
          <w:b/>
          <w:i w:val="0"/>
        </w:rPr>
      </w:pP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w:t>
      </w:r>
      <w:r w:rsidRPr="00857388">
        <w:rPr>
          <w:rFonts w:cs="Arial"/>
          <w:i w:val="0"/>
        </w:rPr>
        <w:lastRenderedPageBreak/>
        <w:t xml:space="preserve">(DIEZ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w:t>
      </w:r>
      <w:r w:rsidRPr="00857388">
        <w:rPr>
          <w:rFonts w:cs="Arial"/>
          <w:i w:val="0"/>
        </w:rPr>
        <w:lastRenderedPageBreak/>
        <w:t xml:space="preserve">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431C1" w:rsidRDefault="00E431C1" w:rsidP="001C2FB2">
      <w:pPr>
        <w:jc w:val="both"/>
        <w:rPr>
          <w:rFonts w:cs="Arial"/>
          <w:i w:val="0"/>
        </w:rPr>
      </w:pPr>
    </w:p>
    <w:p w:rsidR="00E431C1" w:rsidRPr="00857388" w:rsidRDefault="00E431C1" w:rsidP="001C2FB2">
      <w:pPr>
        <w:jc w:val="both"/>
        <w:rPr>
          <w:rFonts w:cs="Arial"/>
          <w:i w:val="0"/>
        </w:rPr>
      </w:pP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1"/>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Pr="00857388" w:rsidRDefault="00E431C1"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Fonts w:cs="Arial"/>
          <w:b/>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0" w:history="1">
        <w:r w:rsidR="000A20FB" w:rsidRPr="009A5F11">
          <w:rPr>
            <w:rStyle w:val="Hipervnculo"/>
            <w:rFonts w:cs="Arial"/>
            <w:b/>
            <w:sz w:val="20"/>
            <w:highlight w:val="yellow"/>
          </w:rPr>
          <w:t>contraloria@ahomedigital.gob.mx</w:t>
        </w:r>
      </w:hyperlink>
    </w:p>
    <w:p w:rsidR="000A20FB" w:rsidRDefault="000A20FB"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9F6B69">
        <w:rPr>
          <w:rFonts w:cs="Arial"/>
          <w:b/>
          <w:i w:val="0"/>
          <w:highlight w:val="yellow"/>
          <w:lang w:val="es-ES"/>
        </w:rPr>
        <w:t>27</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1"/>
          <w:footerReference w:type="even" r:id="rId12"/>
          <w:footerReference w:type="default" r:id="rId13"/>
          <w:headerReference w:type="first" r:id="rId14"/>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5"/>
      <w:footerReference w:type="even" r:id="rId16"/>
      <w:footerReference w:type="default" r:id="rId17"/>
      <w:headerReference w:type="first" r:id="rId18"/>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B6" w:rsidRDefault="009C43B6">
      <w:r>
        <w:separator/>
      </w:r>
    </w:p>
  </w:endnote>
  <w:endnote w:type="continuationSeparator" w:id="0">
    <w:p w:rsidR="009C43B6" w:rsidRDefault="009C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Default="002534C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2534CE" w:rsidRDefault="002534CE">
    <w:pPr>
      <w:ind w:right="360"/>
      <w:jc w:val="right"/>
      <w:rPr>
        <w:rStyle w:val="Nmerodepgina"/>
      </w:rPr>
    </w:pPr>
  </w:p>
  <w:p w:rsidR="002534CE" w:rsidRDefault="002534C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Pr="00370863" w:rsidRDefault="002534CE"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CONC-FISMDF-DGOYSP-DOP-12-19</w:t>
    </w:r>
  </w:p>
  <w:p w:rsidR="002534CE" w:rsidRDefault="002534CE" w:rsidP="007D69C3">
    <w:pPr>
      <w:pStyle w:val="Textoindependiente31"/>
      <w:rPr>
        <w:rFonts w:cs="Arial"/>
        <w:i w:val="0"/>
        <w:color w:val="000000"/>
        <w:sz w:val="14"/>
        <w:szCs w:val="14"/>
        <w:lang w:eastAsia="es-ES"/>
      </w:rPr>
    </w:pPr>
    <w:r>
      <w:rPr>
        <w:rFonts w:cs="Arial"/>
        <w:i w:val="0"/>
        <w:color w:val="000000"/>
        <w:sz w:val="14"/>
        <w:szCs w:val="14"/>
        <w:lang w:eastAsia="es-ES"/>
      </w:rPr>
      <w:t>(001</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Construcción de </w:t>
    </w:r>
    <w:r>
      <w:rPr>
        <w:rFonts w:cs="Arial"/>
        <w:i w:val="0"/>
        <w:color w:val="000000"/>
        <w:sz w:val="14"/>
        <w:szCs w:val="14"/>
        <w:lang w:eastAsia="es-ES"/>
      </w:rPr>
      <w:t>1,200 M2 de techo firme para mejoramiento de viviendas, en distintas localidades de la Sindicatura Ahome, Municipio de Ahome, Sinaloa.</w:t>
    </w:r>
  </w:p>
  <w:p w:rsidR="002534CE" w:rsidRPr="00973D16" w:rsidRDefault="002534CE"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0D797E">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0D797E">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Default="002534C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2534CE" w:rsidRDefault="002534CE">
    <w:pPr>
      <w:ind w:right="360"/>
      <w:jc w:val="right"/>
      <w:rPr>
        <w:rStyle w:val="Nmerodepgina"/>
      </w:rPr>
    </w:pPr>
  </w:p>
  <w:p w:rsidR="002534CE" w:rsidRDefault="002534CE">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Pr="00370863" w:rsidRDefault="002534CE"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2534CE" w:rsidRPr="006D79A7" w:rsidRDefault="002534CE"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2534CE" w:rsidRPr="00973D16" w:rsidRDefault="002534CE"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B6" w:rsidRDefault="009C43B6">
      <w:r>
        <w:separator/>
      </w:r>
    </w:p>
  </w:footnote>
  <w:footnote w:type="continuationSeparator" w:id="0">
    <w:p w:rsidR="009C43B6" w:rsidRDefault="009C4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2534CE">
      <w:trPr>
        <w:cantSplit/>
        <w:trHeight w:val="1151"/>
      </w:trPr>
      <w:tc>
        <w:tcPr>
          <w:tcW w:w="9627" w:type="dxa"/>
        </w:tcPr>
        <w:p w:rsidR="002534CE" w:rsidRPr="00D00CA9" w:rsidRDefault="002534CE" w:rsidP="00031E7A">
          <w:pPr>
            <w:pStyle w:val="Ttulo5"/>
            <w:rPr>
              <w:b/>
              <w:i w:val="0"/>
              <w:sz w:val="20"/>
            </w:rPr>
          </w:pPr>
          <w:r>
            <w:rPr>
              <w:b/>
              <w:i w:val="0"/>
              <w:sz w:val="20"/>
            </w:rPr>
            <w:t>MUNICIPIO DE AHOME</w:t>
          </w:r>
        </w:p>
        <w:p w:rsidR="002534CE" w:rsidRPr="00D00CA9" w:rsidRDefault="002534CE" w:rsidP="00031E7A">
          <w:pPr>
            <w:pStyle w:val="Ttulo5"/>
            <w:rPr>
              <w:b/>
              <w:i w:val="0"/>
              <w:sz w:val="10"/>
              <w:szCs w:val="10"/>
            </w:rPr>
          </w:pPr>
        </w:p>
        <w:p w:rsidR="002534CE" w:rsidRPr="00D00CA9" w:rsidRDefault="002534CE" w:rsidP="00031E7A">
          <w:pPr>
            <w:pStyle w:val="Ttulo5"/>
            <w:rPr>
              <w:b/>
              <w:i w:val="0"/>
              <w:sz w:val="20"/>
            </w:rPr>
          </w:pPr>
          <w:r>
            <w:rPr>
              <w:b/>
              <w:i w:val="0"/>
              <w:sz w:val="20"/>
            </w:rPr>
            <w:t>DIRECCIÓN GENERAL DE OBRAS Y SERVICIOS PÚBLICOS</w:t>
          </w:r>
        </w:p>
        <w:p w:rsidR="002534CE" w:rsidRPr="00D00CA9" w:rsidRDefault="002534CE" w:rsidP="00031E7A">
          <w:pPr>
            <w:pStyle w:val="Ttulo5"/>
            <w:rPr>
              <w:b/>
              <w:i w:val="0"/>
              <w:sz w:val="10"/>
              <w:szCs w:val="10"/>
            </w:rPr>
          </w:pPr>
        </w:p>
        <w:p w:rsidR="002534CE" w:rsidRPr="00D00CA9" w:rsidRDefault="002534CE" w:rsidP="00031E7A">
          <w:pPr>
            <w:jc w:val="center"/>
            <w:rPr>
              <w:b/>
              <w:i w:val="0"/>
              <w:sz w:val="10"/>
              <w:szCs w:val="10"/>
              <w:lang w:val="es-ES_tradnl"/>
            </w:rPr>
          </w:pPr>
        </w:p>
        <w:p w:rsidR="002534CE" w:rsidRDefault="002534CE" w:rsidP="00031E7A">
          <w:pPr>
            <w:pStyle w:val="Ttulo5"/>
            <w:rPr>
              <w:b/>
              <w:i w:val="0"/>
              <w:color w:val="000000"/>
              <w:sz w:val="20"/>
            </w:rPr>
          </w:pPr>
          <w:r>
            <w:rPr>
              <w:b/>
              <w:i w:val="0"/>
              <w:color w:val="000000"/>
              <w:sz w:val="20"/>
            </w:rPr>
            <w:t>INVITACIÓN A CUANDO MENOS TRES PERSONAS</w:t>
          </w:r>
        </w:p>
        <w:p w:rsidR="002534CE" w:rsidRPr="00D00CA9" w:rsidRDefault="002534C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CONC-FISMDF-DGOYSP-DOP-12-19</w:t>
          </w:r>
        </w:p>
        <w:p w:rsidR="002534CE" w:rsidRDefault="002534CE" w:rsidP="00031E7A">
          <w:pPr>
            <w:pStyle w:val="Ttulo5"/>
            <w:rPr>
              <w:b/>
              <w:i w:val="0"/>
              <w:sz w:val="20"/>
            </w:rPr>
          </w:pPr>
          <w:r w:rsidRPr="00D00CA9">
            <w:rPr>
              <w:b/>
              <w:i w:val="0"/>
              <w:sz w:val="20"/>
            </w:rPr>
            <w:t>BASES DE OBRA PÚBLICA</w:t>
          </w:r>
        </w:p>
        <w:p w:rsidR="002534CE" w:rsidRPr="004D5995" w:rsidRDefault="002534CE" w:rsidP="00031E7A">
          <w:pPr>
            <w:jc w:val="center"/>
            <w:rPr>
              <w:b/>
              <w:i w:val="0"/>
              <w:lang w:val="es-ES_tradnl"/>
            </w:rPr>
          </w:pPr>
          <w:r w:rsidRPr="004D5995">
            <w:rPr>
              <w:b/>
              <w:i w:val="0"/>
              <w:lang w:val="es-ES_tradnl"/>
            </w:rPr>
            <w:t>(INSTRUCCIONES A LOS LICITANTES)</w:t>
          </w:r>
        </w:p>
      </w:tc>
    </w:tr>
  </w:tbl>
  <w:p w:rsidR="002534CE" w:rsidRDefault="002534CE"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Default="002534C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2534CE">
      <w:trPr>
        <w:cantSplit/>
        <w:trHeight w:val="1151"/>
      </w:trPr>
      <w:tc>
        <w:tcPr>
          <w:tcW w:w="9627" w:type="dxa"/>
        </w:tcPr>
        <w:p w:rsidR="002534CE" w:rsidRPr="00D00CA9" w:rsidRDefault="002534CE" w:rsidP="00031E7A">
          <w:pPr>
            <w:pStyle w:val="Ttulo5"/>
            <w:rPr>
              <w:b/>
              <w:i w:val="0"/>
              <w:sz w:val="20"/>
            </w:rPr>
          </w:pPr>
          <w:r>
            <w:rPr>
              <w:b/>
              <w:i w:val="0"/>
              <w:sz w:val="20"/>
            </w:rPr>
            <w:t>MUNICIPIO DE AHOME</w:t>
          </w:r>
        </w:p>
        <w:p w:rsidR="002534CE" w:rsidRPr="00D00CA9" w:rsidRDefault="002534CE" w:rsidP="00031E7A">
          <w:pPr>
            <w:pStyle w:val="Ttulo5"/>
            <w:rPr>
              <w:b/>
              <w:i w:val="0"/>
              <w:sz w:val="10"/>
              <w:szCs w:val="10"/>
            </w:rPr>
          </w:pPr>
        </w:p>
        <w:p w:rsidR="002534CE" w:rsidRPr="00D00CA9" w:rsidRDefault="002534CE" w:rsidP="00031E7A">
          <w:pPr>
            <w:pStyle w:val="Ttulo5"/>
            <w:rPr>
              <w:b/>
              <w:i w:val="0"/>
              <w:sz w:val="20"/>
            </w:rPr>
          </w:pPr>
          <w:r>
            <w:rPr>
              <w:b/>
              <w:i w:val="0"/>
              <w:sz w:val="20"/>
            </w:rPr>
            <w:t>DIRECCIÓN GENERAL DE OBRAS Y SERVICIOS PÚBLICOS</w:t>
          </w:r>
        </w:p>
        <w:p w:rsidR="002534CE" w:rsidRPr="00D00CA9" w:rsidRDefault="002534CE" w:rsidP="00031E7A">
          <w:pPr>
            <w:pStyle w:val="Ttulo5"/>
            <w:rPr>
              <w:b/>
              <w:i w:val="0"/>
              <w:sz w:val="10"/>
              <w:szCs w:val="10"/>
            </w:rPr>
          </w:pPr>
        </w:p>
        <w:p w:rsidR="002534CE" w:rsidRPr="00D00CA9" w:rsidRDefault="002534CE" w:rsidP="00031E7A">
          <w:pPr>
            <w:jc w:val="center"/>
            <w:rPr>
              <w:b/>
              <w:i w:val="0"/>
              <w:sz w:val="10"/>
              <w:szCs w:val="10"/>
              <w:lang w:val="es-ES_tradnl"/>
            </w:rPr>
          </w:pPr>
        </w:p>
        <w:p w:rsidR="002534CE" w:rsidRDefault="002534CE"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2534CE" w:rsidRPr="00D00CA9" w:rsidRDefault="002534C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2534CE" w:rsidRDefault="002534CE" w:rsidP="00031E7A">
          <w:pPr>
            <w:pStyle w:val="Ttulo5"/>
            <w:rPr>
              <w:b/>
              <w:i w:val="0"/>
              <w:sz w:val="20"/>
            </w:rPr>
          </w:pPr>
          <w:r w:rsidRPr="00D00CA9">
            <w:rPr>
              <w:b/>
              <w:i w:val="0"/>
              <w:sz w:val="20"/>
            </w:rPr>
            <w:t>BASES DE OBRA PÚBLICA</w:t>
          </w:r>
        </w:p>
        <w:p w:rsidR="002534CE" w:rsidRPr="004D5995" w:rsidRDefault="002534CE" w:rsidP="00031E7A">
          <w:pPr>
            <w:jc w:val="center"/>
            <w:rPr>
              <w:b/>
              <w:i w:val="0"/>
              <w:lang w:val="es-ES_tradnl"/>
            </w:rPr>
          </w:pPr>
          <w:r w:rsidRPr="004D5995">
            <w:rPr>
              <w:b/>
              <w:i w:val="0"/>
              <w:lang w:val="es-ES_tradnl"/>
            </w:rPr>
            <w:t>(INSTRUCCIONES A LOS LICITANTES)</w:t>
          </w:r>
        </w:p>
      </w:tc>
    </w:tr>
  </w:tbl>
  <w:p w:rsidR="002534CE" w:rsidRDefault="002534CE"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4CE" w:rsidRDefault="002534C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510E7"/>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4031"/>
    <w:rsid w:val="00195567"/>
    <w:rsid w:val="00197E49"/>
    <w:rsid w:val="001A035E"/>
    <w:rsid w:val="001A3155"/>
    <w:rsid w:val="001A324A"/>
    <w:rsid w:val="001A602D"/>
    <w:rsid w:val="001A66CE"/>
    <w:rsid w:val="001A725D"/>
    <w:rsid w:val="001B0071"/>
    <w:rsid w:val="001B19CE"/>
    <w:rsid w:val="001B1FF7"/>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9D8"/>
    <w:rsid w:val="002C3F22"/>
    <w:rsid w:val="002C5911"/>
    <w:rsid w:val="002D243C"/>
    <w:rsid w:val="002D449D"/>
    <w:rsid w:val="002D6736"/>
    <w:rsid w:val="002D770C"/>
    <w:rsid w:val="002E4B06"/>
    <w:rsid w:val="002F23BB"/>
    <w:rsid w:val="002F5087"/>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55BF4"/>
    <w:rsid w:val="00362527"/>
    <w:rsid w:val="00365344"/>
    <w:rsid w:val="00366D65"/>
    <w:rsid w:val="00370863"/>
    <w:rsid w:val="0037110B"/>
    <w:rsid w:val="003763BE"/>
    <w:rsid w:val="00381A17"/>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5995"/>
    <w:rsid w:val="004D5D41"/>
    <w:rsid w:val="004D64B9"/>
    <w:rsid w:val="004E2C92"/>
    <w:rsid w:val="004E301F"/>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11E"/>
    <w:rsid w:val="005168CA"/>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D6B"/>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30C24"/>
    <w:rsid w:val="0073329F"/>
    <w:rsid w:val="00736A67"/>
    <w:rsid w:val="00737EBD"/>
    <w:rsid w:val="007447D7"/>
    <w:rsid w:val="007463D6"/>
    <w:rsid w:val="00746CDA"/>
    <w:rsid w:val="007478FE"/>
    <w:rsid w:val="0075008B"/>
    <w:rsid w:val="0075046A"/>
    <w:rsid w:val="0075069A"/>
    <w:rsid w:val="007554E7"/>
    <w:rsid w:val="00756517"/>
    <w:rsid w:val="007611D2"/>
    <w:rsid w:val="00767534"/>
    <w:rsid w:val="007708E9"/>
    <w:rsid w:val="00770DB6"/>
    <w:rsid w:val="00770DCD"/>
    <w:rsid w:val="00771A39"/>
    <w:rsid w:val="00772D37"/>
    <w:rsid w:val="00773656"/>
    <w:rsid w:val="00776688"/>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3170"/>
    <w:rsid w:val="008F640B"/>
    <w:rsid w:val="008F6A65"/>
    <w:rsid w:val="008F784E"/>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627B7"/>
    <w:rsid w:val="00963ECE"/>
    <w:rsid w:val="009651B8"/>
    <w:rsid w:val="00970801"/>
    <w:rsid w:val="00970DC1"/>
    <w:rsid w:val="00974294"/>
    <w:rsid w:val="009758E3"/>
    <w:rsid w:val="00975F4E"/>
    <w:rsid w:val="00983690"/>
    <w:rsid w:val="00993BC2"/>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1457B"/>
    <w:rsid w:val="00A15A1F"/>
    <w:rsid w:val="00A1658F"/>
    <w:rsid w:val="00A1785D"/>
    <w:rsid w:val="00A204A0"/>
    <w:rsid w:val="00A20F9C"/>
    <w:rsid w:val="00A21349"/>
    <w:rsid w:val="00A2325C"/>
    <w:rsid w:val="00A23657"/>
    <w:rsid w:val="00A25709"/>
    <w:rsid w:val="00A2589B"/>
    <w:rsid w:val="00A26288"/>
    <w:rsid w:val="00A325DE"/>
    <w:rsid w:val="00A40695"/>
    <w:rsid w:val="00A42ADB"/>
    <w:rsid w:val="00A432E6"/>
    <w:rsid w:val="00A44E76"/>
    <w:rsid w:val="00A44FB1"/>
    <w:rsid w:val="00A452E5"/>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37C0"/>
    <w:rsid w:val="00DE5876"/>
    <w:rsid w:val="00DE60FA"/>
    <w:rsid w:val="00DF0AA5"/>
    <w:rsid w:val="00DF559E"/>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E16"/>
    <w:rsid w:val="00EB6BDD"/>
    <w:rsid w:val="00EC1A51"/>
    <w:rsid w:val="00EC70FC"/>
    <w:rsid w:val="00EC75EB"/>
    <w:rsid w:val="00EC776A"/>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DEC"/>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loria@ahomedigital.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9916-7AA9-4347-B1A9-D6D90CB0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22372</Words>
  <Characters>123046</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5</cp:revision>
  <cp:lastPrinted>2018-01-16T15:48:00Z</cp:lastPrinted>
  <dcterms:created xsi:type="dcterms:W3CDTF">2019-04-09T15:29:00Z</dcterms:created>
  <dcterms:modified xsi:type="dcterms:W3CDTF">2019-05-27T18:22:00Z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6" name="_NewReviewCycle">
    <vt:lpwstr/>
  </property>
</Properties>
</file>