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D25746">
        <w:rPr>
          <w:rFonts w:cs="Arial"/>
          <w:i w:val="0"/>
          <w:sz w:val="20"/>
          <w:lang w:val="es-MX"/>
        </w:rPr>
        <w:t>4</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de </w:t>
      </w:r>
      <w:r w:rsidR="00BA3A0A">
        <w:rPr>
          <w:rFonts w:cs="Arial"/>
          <w:i w:val="0"/>
          <w:sz w:val="20"/>
        </w:rPr>
        <w:t xml:space="preserve">puntos </w:t>
      </w:r>
      <w:r w:rsidR="00E33F3B">
        <w:rPr>
          <w:rFonts w:cs="Arial"/>
          <w:i w:val="0"/>
          <w:sz w:val="20"/>
        </w:rPr>
        <w:t>y</w:t>
      </w:r>
      <w:r w:rsidR="00BA3A0A">
        <w:rPr>
          <w:rFonts w:cs="Arial"/>
          <w:i w:val="0"/>
          <w:sz w:val="20"/>
        </w:rPr>
        <w:t xml:space="preserve"> porcentajes</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D25746" w:rsidRPr="00203318">
        <w:rPr>
          <w:rFonts w:cs="Arial"/>
          <w:b/>
          <w:bCs/>
          <w:i w:val="0"/>
          <w:sz w:val="20"/>
        </w:rPr>
        <w:t>Rehabilitación de la red de alcantarillado sanitario en la zona 1, en el centro de la Ciudad y Puerto de Mazatlán, en el área comprendida entre la Av. Constitución y la Ave. Zaragoza -Cuadrantes B,C,D y parte del Cuadrante-A, Municipio de Mazatlán,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rsidR="00283730" w:rsidRDefault="00283730" w:rsidP="004C1BDC">
      <w:pPr>
        <w:pStyle w:val="Textoindependiente31"/>
        <w:rPr>
          <w:rFonts w:cs="Arial"/>
          <w:i w:val="0"/>
          <w:sz w:val="20"/>
        </w:rPr>
      </w:pPr>
    </w:p>
    <w:p w:rsidR="00D25746" w:rsidRDefault="00D25746" w:rsidP="004C1BDC">
      <w:pPr>
        <w:pStyle w:val="Textoindependiente31"/>
        <w:rPr>
          <w:rFonts w:cs="Arial"/>
          <w:i w:val="0"/>
          <w:sz w:val="20"/>
        </w:rPr>
      </w:pPr>
    </w:p>
    <w:p w:rsidR="00283730" w:rsidRPr="00FC58B3"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FC58B3" w:rsidRDefault="00FC58B3" w:rsidP="00FC58B3">
      <w:pPr>
        <w:pStyle w:val="Textoindependiente31"/>
        <w:ind w:left="540"/>
        <w:rPr>
          <w:i w:val="0"/>
          <w:sz w:val="20"/>
        </w:rPr>
      </w:pPr>
    </w:p>
    <w:p w:rsidR="00FC58B3" w:rsidRPr="008716FD" w:rsidRDefault="00FC58B3" w:rsidP="00FC58B3">
      <w:pPr>
        <w:pStyle w:val="Textoindependiente31"/>
        <w:ind w:left="540"/>
        <w:rPr>
          <w:rFonts w:cs="Arial"/>
          <w:i w:val="0"/>
          <w:sz w:val="20"/>
        </w:rPr>
      </w:pP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lastRenderedPageBreak/>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D25746">
        <w:rPr>
          <w:i w:val="0"/>
          <w:sz w:val="20"/>
        </w:rPr>
        <w:t>Mazatlan</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Pr="00FC58B3" w:rsidRDefault="00283730" w:rsidP="004C1BDC">
      <w:pPr>
        <w:pStyle w:val="Textoindependiente32"/>
        <w:ind w:left="567"/>
        <w:rPr>
          <w:i w:val="0"/>
          <w:color w:val="000000"/>
          <w:sz w:val="10"/>
          <w:szCs w:val="1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rsidR="00283730" w:rsidRPr="00FC58B3" w:rsidRDefault="00283730" w:rsidP="004C1BDC">
      <w:pPr>
        <w:pStyle w:val="Textoindependiente31"/>
        <w:rPr>
          <w:rFonts w:cs="Arial"/>
          <w:i w:val="0"/>
          <w:szCs w:val="16"/>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Pr="00FC58B3" w:rsidRDefault="00283730" w:rsidP="004C1BDC">
      <w:pPr>
        <w:pStyle w:val="Textoindependiente31"/>
        <w:rPr>
          <w:rFonts w:cs="Arial"/>
          <w:i w:val="0"/>
          <w:sz w:val="10"/>
          <w:szCs w:val="10"/>
        </w:rPr>
      </w:pPr>
    </w:p>
    <w:p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rsidR="0021152F" w:rsidRDefault="0021152F" w:rsidP="004C1BDC">
      <w:pPr>
        <w:pStyle w:val="Textoindependiente31"/>
        <w:rPr>
          <w:rFonts w:cs="Arial"/>
          <w:b/>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E33F3B"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lastRenderedPageBreak/>
        <w:t>Si el escrito no se presenta, se permitirá el acceso a la junta de aclaraciones a la persona que lo solicite en calidad de observador, en términos del penúltimo párrafo del artículo 27 de la Ley.</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FC58B3" w:rsidRDefault="00FC58B3" w:rsidP="004C1BDC">
      <w:pPr>
        <w:pStyle w:val="Textoindependiente31"/>
        <w:rPr>
          <w:rFonts w:cs="Arial"/>
          <w:b/>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lastRenderedPageBreak/>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lastRenderedPageBreak/>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lastRenderedPageBreak/>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rsidR="00283730" w:rsidRDefault="00283730" w:rsidP="004C1BDC">
      <w:pPr>
        <w:pStyle w:val="ROMANOS"/>
        <w:spacing w:after="0" w:line="240" w:lineRule="auto"/>
        <w:ind w:left="1843" w:hanging="1843"/>
        <w:rPr>
          <w:rFonts w:cs="Arial"/>
          <w:b/>
          <w:bCs/>
          <w:sz w:val="20"/>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Default="00283730" w:rsidP="004C1BDC">
      <w:pPr>
        <w:pStyle w:val="ROMANOS"/>
        <w:spacing w:after="0" w:line="240" w:lineRule="auto"/>
        <w:ind w:left="0"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FC58B3" w:rsidRDefault="00FC58B3" w:rsidP="004C1BDC">
      <w:pPr>
        <w:pStyle w:val="ROMANOS"/>
        <w:spacing w:after="0" w:line="240" w:lineRule="auto"/>
        <w:ind w:left="1843" w:hanging="1843"/>
        <w:rPr>
          <w:rFonts w:cs="Arial"/>
          <w:b/>
          <w:i w:val="0"/>
          <w:sz w:val="20"/>
        </w:rPr>
      </w:pPr>
    </w:p>
    <w:p w:rsidR="00FC58B3" w:rsidRDefault="00FC58B3" w:rsidP="004C1BDC">
      <w:pPr>
        <w:pStyle w:val="ROMANOS"/>
        <w:spacing w:after="0" w:line="240" w:lineRule="auto"/>
        <w:ind w:left="1843" w:hanging="1843"/>
        <w:rPr>
          <w:rFonts w:cs="Arial"/>
          <w:b/>
          <w:i w:val="0"/>
          <w:sz w:val="20"/>
        </w:rPr>
      </w:pPr>
    </w:p>
    <w:p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rsidR="00283730" w:rsidRDefault="00283730" w:rsidP="004C1BDC">
      <w:pPr>
        <w:pStyle w:val="ROMANOS"/>
        <w:spacing w:after="0" w:line="240" w:lineRule="auto"/>
        <w:ind w:left="1843" w:hanging="1843"/>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rsidR="00283730" w:rsidRDefault="00283730" w:rsidP="004C1BDC">
      <w:pPr>
        <w:pStyle w:val="ROMANOS"/>
        <w:spacing w:after="0" w:line="240" w:lineRule="auto"/>
        <w:ind w:left="1843"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rsidR="00283730" w:rsidRPr="009F7216"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rsidR="00283730"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rsidR="00283730" w:rsidRDefault="00283730" w:rsidP="004C1BDC">
      <w:pPr>
        <w:pStyle w:val="ROMANOS"/>
        <w:spacing w:after="0" w:line="240" w:lineRule="auto"/>
        <w:ind w:left="0" w:firstLine="0"/>
        <w:rPr>
          <w:rFonts w:cs="Arial"/>
          <w:i w:val="0"/>
          <w:sz w:val="2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Pr="00A12E26" w:rsidRDefault="00283730" w:rsidP="004C1BDC">
      <w:pPr>
        <w:pStyle w:val="Textoindependiente21"/>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FC58B3" w:rsidRDefault="00FC58B3" w:rsidP="004C1BDC">
      <w:pPr>
        <w:pStyle w:val="ROMANOS"/>
        <w:spacing w:after="0" w:line="240" w:lineRule="auto"/>
        <w:ind w:left="0" w:firstLine="0"/>
        <w:rPr>
          <w:rFonts w:cs="Arial"/>
          <w:b/>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lastRenderedPageBreak/>
        <w:t>DOCUMENTO</w:t>
      </w:r>
    </w:p>
    <w:p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5C691B">
      <w:pPr>
        <w:pStyle w:val="ROMANOS"/>
        <w:spacing w:after="0" w:line="240" w:lineRule="auto"/>
        <w:ind w:left="1843" w:hanging="1843"/>
        <w:rPr>
          <w:rFonts w:cs="Arial"/>
          <w:i w:val="0"/>
          <w:sz w:val="20"/>
        </w:rPr>
      </w:pPr>
    </w:p>
    <w:p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sz w:val="20"/>
          <w:lang w:val="es-MX"/>
        </w:rPr>
      </w:pPr>
    </w:p>
    <w:p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lastRenderedPageBreak/>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
        <w:rPr>
          <w:b/>
          <w:i w:val="0"/>
        </w:rPr>
        <w:t>1</w:t>
      </w:r>
      <w:r>
        <w:rPr>
          <w:b/>
          <w:i w:val="0"/>
        </w:rPr>
        <w:tab/>
        <w:t>GENERALIDADES DE LA OBRA.</w:t>
      </w:r>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rsidR="00A93FB9" w:rsidRDefault="00A93FB9" w:rsidP="004C1BDC">
      <w:pPr>
        <w:ind w:right="51"/>
        <w:jc w:val="both"/>
        <w:rPr>
          <w:i w:val="0"/>
        </w:rPr>
      </w:pPr>
    </w:p>
    <w:p w:rsidR="007E5183" w:rsidRDefault="00A93FB9" w:rsidP="004C1BDC">
      <w:pPr>
        <w:ind w:right="51"/>
        <w:jc w:val="both"/>
        <w:rPr>
          <w:i w:val="0"/>
        </w:rPr>
      </w:pPr>
      <w:r>
        <w:rPr>
          <w:i w:val="0"/>
        </w:rPr>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rsidR="007E5183" w:rsidRPr="00DB282B" w:rsidRDefault="007E5183"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8153CD">
        <w:rPr>
          <w:i w:val="0"/>
          <w:sz w:val="20"/>
        </w:rPr>
        <w:t>os trabajos de:</w:t>
      </w:r>
      <w:r w:rsidR="00C76E38">
        <w:rPr>
          <w:i w:val="0"/>
          <w:sz w:val="20"/>
        </w:rPr>
        <w:t xml:space="preserve"> </w:t>
      </w:r>
      <w:r w:rsidR="00C76E38" w:rsidRPr="00057432">
        <w:rPr>
          <w:i w:val="0"/>
          <w:sz w:val="20"/>
        </w:rPr>
        <w:t>“</w:t>
      </w:r>
      <w:r w:rsidR="00D25746" w:rsidRPr="00203318">
        <w:rPr>
          <w:rFonts w:cs="Arial"/>
          <w:b/>
          <w:bCs/>
          <w:i w:val="0"/>
          <w:sz w:val="20"/>
        </w:rPr>
        <w:t>Rehabilitación de la red de alcantarillado sanitario en la zona 1, en el centro de la Ciudad y Puerto de Mazatlán, en el área comprendida entre la Av. Constitución y la Ave. Zaragoza -Cuadrantes B,C,D y parte del Cuadrante-A, Municipio de Mazatlán, Estado de Sinaloa</w:t>
      </w:r>
      <w:r w:rsidR="00C76E38" w:rsidRPr="00057432">
        <w:rPr>
          <w:rFonts w:cs="Arial"/>
          <w:i w:val="0"/>
          <w:sz w:val="20"/>
        </w:rPr>
        <w:t>”</w:t>
      </w:r>
      <w:r w:rsidR="00F115CF" w:rsidRPr="00057432">
        <w:rPr>
          <w:rFonts w:cs="Arial"/>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057432" w:rsidRDefault="00283730" w:rsidP="004C1BDC">
      <w:pPr>
        <w:jc w:val="both"/>
        <w:rPr>
          <w:rFonts w:cs="Arial"/>
          <w:i w:val="0"/>
        </w:rPr>
      </w:pPr>
      <w:r w:rsidRPr="00057432">
        <w:rPr>
          <w:rFonts w:cs="Arial"/>
          <w:i w:val="0"/>
        </w:rPr>
        <w:t xml:space="preserve">La fecha estimada para el inicio de la obra será el día </w:t>
      </w:r>
      <w:r w:rsidR="00727D86">
        <w:rPr>
          <w:rFonts w:cs="Arial"/>
          <w:i w:val="0"/>
          <w:noProof/>
        </w:rPr>
        <w:t>16</w:t>
      </w:r>
      <w:r w:rsidRPr="00057432">
        <w:rPr>
          <w:rFonts w:cs="Arial"/>
          <w:i w:val="0"/>
          <w:noProof/>
        </w:rPr>
        <w:t xml:space="preserve"> de </w:t>
      </w:r>
      <w:r w:rsidR="00F115CF" w:rsidRPr="00057432">
        <w:rPr>
          <w:rFonts w:cs="Arial"/>
          <w:i w:val="0"/>
          <w:noProof/>
        </w:rPr>
        <w:t>Mayo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D25746">
        <w:rPr>
          <w:rFonts w:cs="Arial"/>
          <w:i w:val="0"/>
          <w:noProof/>
        </w:rPr>
        <w:t>0</w:t>
      </w:r>
      <w:r w:rsidRPr="00057432">
        <w:rPr>
          <w:rFonts w:cs="Arial"/>
          <w:i w:val="0"/>
          <w:noProof/>
        </w:rPr>
        <w:t xml:space="preserve"> de </w:t>
      </w:r>
      <w:r w:rsidR="00D25746">
        <w:rPr>
          <w:rFonts w:cs="Arial"/>
          <w:i w:val="0"/>
          <w:noProof/>
        </w:rPr>
        <w:t>Noviembre</w:t>
      </w:r>
      <w:r w:rsidRPr="00057432">
        <w:rPr>
          <w:rFonts w:cs="Arial"/>
          <w:i w:val="0"/>
          <w:noProof/>
        </w:rPr>
        <w:t xml:space="preserve"> de 201</w:t>
      </w:r>
      <w:r w:rsidR="00F115CF" w:rsidRPr="00057432">
        <w:rPr>
          <w:rFonts w:cs="Arial"/>
          <w:i w:val="0"/>
          <w:noProof/>
        </w:rPr>
        <w:t>7</w:t>
      </w:r>
      <w:r w:rsidRPr="00057432">
        <w:rPr>
          <w:rFonts w:cs="Arial"/>
          <w:i w:val="0"/>
        </w:rPr>
        <w:t>.</w:t>
      </w:r>
    </w:p>
    <w:p w:rsidR="00283730" w:rsidRDefault="00283730" w:rsidP="004C1BDC">
      <w:pPr>
        <w:jc w:val="both"/>
        <w:rPr>
          <w:rFonts w:cs="Arial"/>
          <w:bCs/>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Pr="00057432" w:rsidRDefault="00283730" w:rsidP="004C1BDC">
      <w:pPr>
        <w:jc w:val="both"/>
        <w:rPr>
          <w:rFonts w:cs="Arial"/>
          <w:i w:val="0"/>
        </w:rPr>
      </w:pPr>
      <w:r w:rsidRPr="00057432">
        <w:rPr>
          <w:rFonts w:cs="Arial"/>
          <w:i w:val="0"/>
        </w:rPr>
        <w:t xml:space="preserve">El plazo de ejecución de la obra será de </w:t>
      </w:r>
      <w:r w:rsidR="00D25746">
        <w:rPr>
          <w:rFonts w:cs="Arial"/>
          <w:i w:val="0"/>
          <w:noProof/>
        </w:rPr>
        <w:t>199</w:t>
      </w:r>
      <w:r w:rsidRPr="00057432">
        <w:rPr>
          <w:rFonts w:cs="Arial"/>
          <w:i w:val="0"/>
        </w:rPr>
        <w:t xml:space="preserve"> </w:t>
      </w:r>
      <w:r w:rsidRPr="00057432">
        <w:rPr>
          <w:rFonts w:cs="Arial"/>
          <w:i w:val="0"/>
          <w:noProof/>
        </w:rPr>
        <w:t>(</w:t>
      </w:r>
      <w:r w:rsidR="00D25746">
        <w:rPr>
          <w:rFonts w:cs="Arial"/>
          <w:i w:val="0"/>
          <w:noProof/>
        </w:rPr>
        <w:t>ciento noventa y nueve</w:t>
      </w:r>
      <w:r w:rsidRPr="00057432">
        <w:rPr>
          <w:rFonts w:cs="Arial"/>
          <w:i w:val="0"/>
          <w:noProof/>
        </w:rPr>
        <w:t>)</w:t>
      </w:r>
      <w:r w:rsidRPr="00057432">
        <w:rPr>
          <w:rFonts w:cs="Arial"/>
          <w:i w:val="0"/>
        </w:rPr>
        <w:t xml:space="preserve"> días naturales, contados a partir de la fecha de iniciación de la misma.</w:t>
      </w:r>
    </w:p>
    <w:p w:rsidR="00283730" w:rsidRDefault="00283730" w:rsidP="004C1BDC">
      <w:pPr>
        <w:jc w:val="both"/>
        <w:rPr>
          <w:rFonts w:cs="Arial"/>
          <w:bCs/>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rsidR="00283730" w:rsidRDefault="00283730" w:rsidP="004C1BDC">
      <w:pPr>
        <w:jc w:val="both"/>
        <w:rPr>
          <w:rFonts w:cs="Arial"/>
          <w:bCs/>
          <w:i w:val="0"/>
        </w:rPr>
      </w:pPr>
    </w:p>
    <w:p w:rsidR="00D25746" w:rsidRDefault="00D25746" w:rsidP="004C1BDC">
      <w:pPr>
        <w:jc w:val="both"/>
        <w:rPr>
          <w:rFonts w:cs="Arial"/>
          <w:bCs/>
          <w:i w:val="0"/>
        </w:rPr>
      </w:pPr>
    </w:p>
    <w:p w:rsidR="00283730" w:rsidRDefault="00283730" w:rsidP="004C1BDC">
      <w:pPr>
        <w:ind w:left="567" w:right="360" w:hanging="567"/>
        <w:jc w:val="both"/>
        <w:rPr>
          <w:rFonts w:cs="Arial"/>
          <w:b/>
          <w:i w:val="0"/>
        </w:rPr>
      </w:pPr>
      <w:r>
        <w:rPr>
          <w:rFonts w:cs="Arial"/>
          <w:b/>
          <w:i w:val="0"/>
        </w:rPr>
        <w:lastRenderedPageBreak/>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 sitio de realización de la obra y sus condiciones ambientales, así como de haber considerado las modificaciones 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8153CD">
        <w:rPr>
          <w:rFonts w:cs="Arial"/>
          <w:i w:val="0"/>
        </w:rPr>
        <w:t>el lugar de la obra</w:t>
      </w:r>
      <w:r w:rsidRPr="00AC210E">
        <w:rPr>
          <w:rFonts w:cs="Arial"/>
          <w:i w:val="0"/>
        </w:rPr>
        <w:t xml:space="preserve">, a las </w:t>
      </w:r>
      <w:r w:rsidRPr="00AC210E">
        <w:rPr>
          <w:rFonts w:cs="Arial"/>
          <w:i w:val="0"/>
          <w:noProof/>
        </w:rPr>
        <w:t>0</w:t>
      </w:r>
      <w:r w:rsidR="00DA7096" w:rsidRPr="00AC210E">
        <w:rPr>
          <w:rFonts w:cs="Arial"/>
          <w:i w:val="0"/>
          <w:noProof/>
        </w:rPr>
        <w:t>9</w:t>
      </w:r>
      <w:r w:rsidRPr="00AC210E">
        <w:rPr>
          <w:rFonts w:cs="Arial"/>
          <w:i w:val="0"/>
          <w:noProof/>
        </w:rPr>
        <w:t>:00</w:t>
      </w:r>
      <w:r w:rsidRPr="00AC210E">
        <w:rPr>
          <w:rFonts w:cs="Arial"/>
          <w:i w:val="0"/>
        </w:rPr>
        <w:t xml:space="preserve"> horas, el día </w:t>
      </w:r>
      <w:r w:rsidR="00727D86">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rsidR="00283730" w:rsidRDefault="00283730" w:rsidP="004C1BDC">
      <w:pPr>
        <w:tabs>
          <w:tab w:val="left" w:pos="9356"/>
        </w:tabs>
        <w:jc w:val="both"/>
        <w:rPr>
          <w:rFonts w:cs="Arial"/>
          <w:bCs/>
          <w:i w:val="0"/>
          <w:lang w:val="es-ES_tradnl"/>
        </w:rPr>
      </w:pPr>
    </w:p>
    <w:p w:rsidR="00FC58B3" w:rsidRDefault="00FC58B3" w:rsidP="004C1BDC">
      <w:pPr>
        <w:ind w:left="567" w:right="360" w:hanging="567"/>
        <w:jc w:val="both"/>
        <w:rPr>
          <w:rFonts w:cs="Arial"/>
          <w:b/>
          <w:i w:val="0"/>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D25746">
        <w:rPr>
          <w:rFonts w:cs="Arial"/>
          <w:i w:val="0"/>
          <w:noProof/>
        </w:rPr>
        <w:t>11</w:t>
      </w:r>
      <w:r w:rsidRPr="00AC210E">
        <w:rPr>
          <w:rFonts w:cs="Arial"/>
          <w:i w:val="0"/>
          <w:noProof/>
        </w:rPr>
        <w:t>:00</w:t>
      </w:r>
      <w:r w:rsidRPr="00AC210E">
        <w:rPr>
          <w:rFonts w:cs="Arial"/>
          <w:i w:val="0"/>
        </w:rPr>
        <w:t xml:space="preserve"> horas, el día </w:t>
      </w:r>
      <w:r w:rsidR="00727D86">
        <w:rPr>
          <w:rFonts w:cs="Arial"/>
          <w:i w:val="0"/>
          <w:noProof/>
        </w:rPr>
        <w:t>25</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Pr="0040500E" w:rsidRDefault="00283730" w:rsidP="004C1BDC">
      <w:pPr>
        <w:pStyle w:val="INCISO"/>
        <w:tabs>
          <w:tab w:val="left" w:pos="0"/>
        </w:tabs>
        <w:spacing w:after="0" w:line="240" w:lineRule="auto"/>
        <w:ind w:left="284" w:hanging="284"/>
        <w:rPr>
          <w:sz w:val="20"/>
        </w:rPr>
      </w:pPr>
      <w:r w:rsidRPr="0040500E">
        <w:rPr>
          <w:sz w:val="20"/>
        </w:rPr>
        <w:lastRenderedPageBreak/>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40500E" w:rsidRDefault="00283730" w:rsidP="004C1BDC">
      <w:pPr>
        <w:pStyle w:val="INCISO"/>
        <w:spacing w:after="0" w:line="240" w:lineRule="auto"/>
        <w:rPr>
          <w:sz w:val="20"/>
        </w:rPr>
      </w:pPr>
    </w:p>
    <w:p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lastRenderedPageBreak/>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9A613E">
        <w:rPr>
          <w:rFonts w:cs="Arial"/>
          <w:b/>
          <w:i w:val="0"/>
        </w:rPr>
        <w:t>A</w:t>
      </w:r>
      <w:r>
        <w:rPr>
          <w:rFonts w:cs="Arial"/>
          <w:b/>
          <w:i w:val="0"/>
        </w:rPr>
        <w:t xml:space="preserve">T 1 a </w:t>
      </w:r>
      <w:r w:rsidR="009A613E">
        <w:rPr>
          <w:rFonts w:cs="Arial"/>
          <w:b/>
          <w:i w:val="0"/>
        </w:rPr>
        <w:t>A</w:t>
      </w:r>
      <w:r>
        <w:rPr>
          <w:rFonts w:cs="Arial"/>
          <w:b/>
          <w:i w:val="0"/>
        </w:rPr>
        <w:t>T 1</w:t>
      </w:r>
      <w:r w:rsidR="009A613E">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acreditamiento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sz w:val="2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sz w:val="2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rsidR="0040500E" w:rsidRPr="004E25FB" w:rsidRDefault="0040500E" w:rsidP="0040500E">
      <w:pPr>
        <w:ind w:left="340"/>
        <w:jc w:val="both"/>
        <w:rPr>
          <w:rFonts w:cs="Arial"/>
        </w:rPr>
      </w:pPr>
    </w:p>
    <w:p w:rsidR="00283730" w:rsidRPr="00674AB2" w:rsidRDefault="00283730" w:rsidP="00A81B48">
      <w:pPr>
        <w:tabs>
          <w:tab w:val="left" w:pos="9356"/>
        </w:tabs>
        <w:jc w:val="both"/>
        <w:rPr>
          <w:rFonts w:cs="Arial"/>
          <w:b/>
          <w:i w:val="0"/>
        </w:rPr>
      </w:pPr>
      <w:r w:rsidRPr="004E25FB">
        <w:rPr>
          <w:rFonts w:cs="Arial"/>
        </w:rPr>
        <w:lastRenderedPageBreak/>
        <w:t>En su caso, utilizar archivos de imagen tipo JPG o GIF, según se requiera</w:t>
      </w:r>
    </w:p>
    <w:p w:rsidR="00283730" w:rsidRPr="00FC58B3" w:rsidRDefault="00283730" w:rsidP="004C1BDC">
      <w:pPr>
        <w:tabs>
          <w:tab w:val="left" w:pos="9356"/>
        </w:tabs>
        <w:jc w:val="both"/>
        <w:rPr>
          <w:rFonts w:cs="Arial"/>
          <w:i w:val="0"/>
          <w:sz w:val="10"/>
          <w:szCs w:val="10"/>
        </w:rPr>
      </w:pPr>
    </w:p>
    <w:p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rsidR="00283730" w:rsidRPr="00FC58B3" w:rsidRDefault="00283730" w:rsidP="004C1BDC">
      <w:pPr>
        <w:pStyle w:val="Sangra2detindependiente"/>
        <w:rPr>
          <w:sz w:val="10"/>
          <w:szCs w:val="10"/>
        </w:rPr>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rsidR="00283730" w:rsidRPr="00FC58B3" w:rsidRDefault="00283730" w:rsidP="004C1BDC">
      <w:pPr>
        <w:pStyle w:val="Textoindependiente31"/>
        <w:tabs>
          <w:tab w:val="left" w:pos="9356"/>
        </w:tabs>
        <w:rPr>
          <w:rFonts w:cs="Arial"/>
          <w:i w:val="0"/>
          <w:sz w:val="10"/>
          <w:szCs w:val="1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rsidR="00283730" w:rsidRPr="00FC58B3" w:rsidRDefault="00283730" w:rsidP="004C1BDC">
            <w:pPr>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rsidR="00283730" w:rsidRPr="00FC58B3" w:rsidRDefault="00283730" w:rsidP="004C1BDC">
            <w:pPr>
              <w:tabs>
                <w:tab w:val="left" w:pos="-720"/>
                <w:tab w:val="left" w:pos="1350"/>
              </w:tabs>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9A613E" w:rsidRDefault="00283730" w:rsidP="004C1BDC">
            <w:pPr>
              <w:pStyle w:val="Texto0"/>
              <w:spacing w:after="0" w:line="240" w:lineRule="auto"/>
              <w:ind w:firstLine="0"/>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rsidR="00283730" w:rsidRPr="009A613E" w:rsidRDefault="00283730" w:rsidP="004C1BDC">
            <w:pPr>
              <w:tabs>
                <w:tab w:val="left" w:pos="-720"/>
                <w:tab w:val="left" w:pos="1350"/>
              </w:tabs>
              <w:rPr>
                <w:b/>
                <w:i w:val="0"/>
                <w:sz w:val="10"/>
                <w:szCs w:val="1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rsidR="00283730" w:rsidRPr="001448E5"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rsidR="00283730" w:rsidRPr="009A613E" w:rsidRDefault="00283730" w:rsidP="004C1BDC">
            <w:pPr>
              <w:pStyle w:val="Texto0"/>
              <w:spacing w:after="0" w:line="240" w:lineRule="auto"/>
              <w:ind w:left="523" w:hanging="523"/>
              <w:rPr>
                <w:b/>
                <w:i w:val="0"/>
                <w:sz w:val="10"/>
                <w:szCs w:val="1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Default="00283730" w:rsidP="004C1BDC">
            <w:pPr>
              <w:pStyle w:val="Texto0"/>
              <w:spacing w:after="0" w:line="240" w:lineRule="auto"/>
              <w:rPr>
                <w:b/>
                <w:i w:val="0"/>
                <w:sz w:val="20"/>
              </w:rPr>
            </w:pPr>
          </w:p>
          <w:p w:rsidR="00A10580" w:rsidRPr="00EF7090" w:rsidRDefault="00A10580" w:rsidP="004C1BDC">
            <w:pPr>
              <w:pStyle w:val="Texto0"/>
              <w:spacing w:after="0" w:line="240" w:lineRule="auto"/>
              <w:rPr>
                <w:b/>
                <w:i w:val="0"/>
                <w:sz w:val="20"/>
              </w:rPr>
            </w:pPr>
          </w:p>
        </w:tc>
      </w:tr>
      <w:tr w:rsidR="00A10580" w:rsidRPr="00EF7090" w:rsidTr="004C1BDC">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12</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rsidR="00A10580" w:rsidRPr="00A10580" w:rsidRDefault="00A10580" w:rsidP="004C1BDC">
      <w:pPr>
        <w:pStyle w:val="Textoindependiente31"/>
        <w:tabs>
          <w:tab w:val="left" w:pos="567"/>
        </w:tabs>
        <w:ind w:left="567" w:hanging="567"/>
        <w:rPr>
          <w:rFonts w:cs="Arial"/>
          <w:b/>
          <w:i w:val="0"/>
          <w:sz w:val="20"/>
          <w:lang w:val="es-MX"/>
        </w:rPr>
      </w:pPr>
    </w:p>
    <w:p w:rsidR="00A10580" w:rsidRDefault="00A10580" w:rsidP="004C1BDC">
      <w:pPr>
        <w:pStyle w:val="Textoindependiente31"/>
        <w:tabs>
          <w:tab w:val="left" w:pos="567"/>
        </w:tabs>
        <w:ind w:left="567" w:hanging="567"/>
        <w:rPr>
          <w:rFonts w:cs="Arial"/>
          <w:b/>
          <w:i w:val="0"/>
          <w:sz w:val="20"/>
          <w:lang w:val="es-ES"/>
        </w:rPr>
      </w:pPr>
    </w:p>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rsidR="00283730" w:rsidRPr="003521CD"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lastRenderedPageBreak/>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rsidR="00283730" w:rsidRPr="004328C8"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CARGOS ADICIONALES.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lastRenderedPageBreak/>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rsidR="00283730" w:rsidRPr="00BD235D" w:rsidRDefault="00283730" w:rsidP="004C1BDC">
            <w:pPr>
              <w:pStyle w:val="Texto0"/>
              <w:spacing w:after="0" w:line="240" w:lineRule="auto"/>
              <w:ind w:firstLine="0"/>
              <w:rPr>
                <w:b/>
                <w:i w:val="0"/>
                <w:sz w:val="20"/>
                <w:highlight w:val="green"/>
              </w:rPr>
            </w:pPr>
          </w:p>
        </w:tc>
      </w:tr>
    </w:tbl>
    <w:p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EE70FD" w:rsidRDefault="00EE70FD"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días naturales siguientes a su presentación, deberá revisar y, en su caso, autorizar las estimaciones que serán pagadas a través de transferencia electrónica de fondos, en cuenta de cheques con clave bancaria estandarizada y aperturada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0"/>
        <w:spacing w:after="0" w:line="240" w:lineRule="auto"/>
        <w:ind w:firstLine="0"/>
        <w:rPr>
          <w:i w:val="0"/>
          <w:sz w:val="20"/>
          <w:szCs w:val="20"/>
        </w:rPr>
      </w:pPr>
      <w:r w:rsidRPr="00B00859">
        <w:rPr>
          <w:i w:val="0"/>
          <w:sz w:val="20"/>
          <w:szCs w:val="20"/>
        </w:rPr>
        <w:lastRenderedPageBreak/>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Pr="00FC58B3" w:rsidRDefault="00283730" w:rsidP="004C1BDC">
      <w:pPr>
        <w:pStyle w:val="Texto0"/>
        <w:spacing w:after="55" w:line="240" w:lineRule="auto"/>
        <w:ind w:firstLine="0"/>
        <w:rPr>
          <w:i w:val="0"/>
          <w:sz w:val="10"/>
          <w:szCs w:val="1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rsidR="00283730" w:rsidRPr="00FC58B3" w:rsidRDefault="00283730" w:rsidP="004C1BDC">
      <w:pPr>
        <w:pStyle w:val="Textoindependiente21"/>
        <w:ind w:left="0"/>
        <w:rPr>
          <w:rFonts w:cs="Arial"/>
          <w:i w:val="0"/>
          <w:sz w:val="10"/>
          <w:szCs w:val="1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rsidR="00283730" w:rsidRPr="00FC58B3" w:rsidRDefault="00283730" w:rsidP="004C1BDC">
      <w:pPr>
        <w:pStyle w:val="Texto0"/>
        <w:spacing w:after="37" w:line="240" w:lineRule="auto"/>
        <w:ind w:firstLine="0"/>
        <w:rPr>
          <w:i w:val="0"/>
          <w:sz w:val="10"/>
          <w:szCs w:val="1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rsidR="00283730" w:rsidRDefault="00283730" w:rsidP="004C1BDC">
      <w:pPr>
        <w:jc w:val="both"/>
        <w:rPr>
          <w:rFonts w:cs="Arial"/>
          <w:i w:val="0"/>
        </w:rPr>
      </w:pPr>
    </w:p>
    <w:p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rsidR="00283730" w:rsidRDefault="00283730" w:rsidP="004C1BDC">
      <w:pPr>
        <w:pStyle w:val="Sangra2detindependiente"/>
      </w:pPr>
    </w:p>
    <w:p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FC58B3" w:rsidRDefault="00FC58B3" w:rsidP="004C1BDC">
      <w:pPr>
        <w:jc w:val="both"/>
        <w:rPr>
          <w:rFonts w:cs="Arial"/>
          <w:bCs/>
          <w:i w:val="0"/>
        </w:rPr>
      </w:pPr>
    </w:p>
    <w:p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w:t>
      </w:r>
      <w:r w:rsidR="00D25746">
        <w:rPr>
          <w:rFonts w:cs="Arial"/>
          <w:i w:val="0"/>
          <w:noProof/>
        </w:rPr>
        <w:t>3</w:t>
      </w:r>
      <w:r w:rsidRPr="00097EAE">
        <w:rPr>
          <w:rFonts w:cs="Arial"/>
          <w:i w:val="0"/>
          <w:noProof/>
        </w:rPr>
        <w:t>:00</w:t>
      </w:r>
      <w:r w:rsidRPr="00097EAE">
        <w:rPr>
          <w:rFonts w:cs="Arial"/>
          <w:i w:val="0"/>
        </w:rPr>
        <w:t xml:space="preserve"> horas, el día </w:t>
      </w:r>
      <w:r w:rsidR="00727D86">
        <w:rPr>
          <w:rFonts w:cs="Arial"/>
          <w:i w:val="0"/>
          <w:noProof/>
        </w:rPr>
        <w:t>03</w:t>
      </w:r>
      <w:r w:rsidR="00B00982" w:rsidRPr="00097EAE">
        <w:rPr>
          <w:rFonts w:cs="Arial"/>
          <w:i w:val="0"/>
          <w:noProof/>
        </w:rPr>
        <w:t xml:space="preserve"> de </w:t>
      </w:r>
      <w:r w:rsidR="00727D86">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ROMANOS"/>
        <w:spacing w:after="0" w:line="240" w:lineRule="auto"/>
        <w:ind w:left="1170" w:firstLine="0"/>
        <w:rPr>
          <w:rFonts w:cs="Arial"/>
          <w:bCs/>
          <w:i w:val="0"/>
          <w:sz w:val="20"/>
          <w:lang w:val="es-MX"/>
        </w:rPr>
      </w:pPr>
    </w:p>
    <w:p w:rsidR="00FC58B3" w:rsidRPr="00355156" w:rsidRDefault="00FC58B3" w:rsidP="004C1BDC">
      <w:pPr>
        <w:pStyle w:val="ROMANOS"/>
        <w:spacing w:after="0" w:line="240" w:lineRule="auto"/>
        <w:ind w:left="1170" w:firstLine="0"/>
        <w:rPr>
          <w:rFonts w:cs="Arial"/>
          <w:bCs/>
          <w:i w:val="0"/>
          <w:sz w:val="20"/>
          <w:lang w:val="es-MX"/>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sz w:val="20"/>
        </w:rPr>
      </w:pPr>
    </w:p>
    <w:p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rsidR="00283730" w:rsidRDefault="00283730" w:rsidP="004C1BDC">
      <w:pPr>
        <w:pStyle w:val="ROMANOS"/>
        <w:spacing w:after="0" w:line="240" w:lineRule="auto"/>
        <w:ind w:left="1170" w:firstLine="0"/>
        <w:rPr>
          <w:rFonts w:cs="Arial"/>
          <w:b/>
          <w:i w:val="0"/>
          <w:color w:val="000000"/>
          <w:sz w:val="20"/>
        </w:rPr>
      </w:pPr>
    </w:p>
    <w:p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FC58B3" w:rsidRDefault="00FC58B3" w:rsidP="00FC58B3">
      <w:pPr>
        <w:pStyle w:val="ROMANOS"/>
        <w:spacing w:after="0" w:line="240" w:lineRule="auto"/>
        <w:ind w:left="1152" w:firstLine="0"/>
        <w:rPr>
          <w:rFonts w:cs="Arial"/>
          <w:i w:val="0"/>
          <w:sz w:val="20"/>
        </w:rPr>
      </w:pPr>
    </w:p>
    <w:p w:rsidR="00283730" w:rsidRPr="0058230C" w:rsidRDefault="00283730" w:rsidP="004C1BDC">
      <w:pPr>
        <w:pStyle w:val="ROMANOS"/>
        <w:numPr>
          <w:ilvl w:val="0"/>
          <w:numId w:val="2"/>
        </w:numPr>
        <w:spacing w:after="0" w:line="240" w:lineRule="auto"/>
        <w:ind w:left="1152" w:hanging="432"/>
        <w:rPr>
          <w:rFonts w:cs="Arial"/>
          <w:i w:val="0"/>
          <w:sz w:val="20"/>
        </w:rPr>
      </w:pPr>
      <w:r>
        <w:rPr>
          <w:rFonts w:cs="Arial"/>
          <w:i w:val="0"/>
          <w:sz w:val="20"/>
        </w:rPr>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sz w:val="20"/>
        </w:rPr>
      </w:pPr>
    </w:p>
    <w:p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D25746">
        <w:rPr>
          <w:rFonts w:cs="Arial"/>
          <w:i w:val="0"/>
          <w:color w:val="000000"/>
          <w:sz w:val="20"/>
        </w:rPr>
        <w:t>3</w:t>
      </w:r>
      <w:r w:rsidRPr="00097EAE">
        <w:rPr>
          <w:rFonts w:cs="Arial"/>
          <w:i w:val="0"/>
          <w:color w:val="000000"/>
          <w:sz w:val="20"/>
        </w:rPr>
        <w:t xml:space="preserve">:00 horas, el día </w:t>
      </w:r>
      <w:r w:rsidR="00692180">
        <w:rPr>
          <w:rFonts w:cs="Arial"/>
          <w:i w:val="0"/>
          <w:color w:val="000000"/>
          <w:sz w:val="20"/>
        </w:rPr>
        <w:t>08</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8927C1" w:rsidRPr="00097EAE">
        <w:rPr>
          <w:rFonts w:cs="Arial"/>
          <w:i w:val="0"/>
          <w:color w:val="000000"/>
          <w:sz w:val="20"/>
        </w:rPr>
        <w:t>8</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rsidR="00283730" w:rsidRDefault="00283730" w:rsidP="004C1BDC">
      <w:pPr>
        <w:pStyle w:val="Textoindependiente21"/>
        <w:ind w:left="0"/>
        <w:rPr>
          <w:rFonts w:cs="Arial"/>
          <w:i w:val="0"/>
        </w:rPr>
      </w:pPr>
    </w:p>
    <w:p w:rsidR="00FC58B3" w:rsidRDefault="00FC58B3"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rsidR="00283730" w:rsidRDefault="00283730" w:rsidP="004C1BDC">
      <w:pPr>
        <w:pStyle w:val="ROMANOS"/>
        <w:spacing w:after="0" w:line="240" w:lineRule="auto"/>
        <w:ind w:left="0" w:firstLine="0"/>
        <w:rPr>
          <w:rFonts w:cs="Arial"/>
          <w:i w:val="0"/>
          <w:sz w:val="20"/>
        </w:rPr>
      </w:pPr>
    </w:p>
    <w:p w:rsidR="00FC58B3" w:rsidRDefault="00FC58B3" w:rsidP="004C1BDC">
      <w:pPr>
        <w:pStyle w:val="ROMANOS"/>
        <w:spacing w:after="0" w:line="240" w:lineRule="auto"/>
        <w:ind w:left="0" w:firstLine="0"/>
        <w:rPr>
          <w:rFonts w:cs="Arial"/>
          <w:i w:val="0"/>
          <w:sz w:val="20"/>
        </w:rPr>
      </w:pPr>
    </w:p>
    <w:p w:rsidR="00283730" w:rsidRPr="00F13B4D" w:rsidRDefault="009A613E"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FC58B3" w:rsidRDefault="00FC58B3"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lastRenderedPageBreak/>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Armando Trujillo Sicairos</w:t>
      </w:r>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Armando Trujillo Sicairos</w:t>
      </w:r>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rsidR="00283730" w:rsidRPr="00767173" w:rsidRDefault="00283730" w:rsidP="004C1BDC">
      <w:pPr>
        <w:pStyle w:val="Textoindependiente21"/>
        <w:ind w:left="0"/>
        <w:rPr>
          <w:rFonts w:cs="Arial"/>
          <w:bCs/>
          <w:i w:val="0"/>
          <w:lang w:val="es-MX"/>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lastRenderedPageBreak/>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963B33">
      <w:pPr>
        <w:ind w:left="1152" w:hanging="180"/>
        <w:jc w:val="both"/>
        <w:rPr>
          <w:rFonts w:cs="Arial"/>
          <w:i w:val="0"/>
          <w:color w:val="000000"/>
        </w:rPr>
      </w:pPr>
    </w:p>
    <w:p w:rsidR="00283730" w:rsidRPr="00157821" w:rsidRDefault="00283730" w:rsidP="00963B33">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rsidR="00767173" w:rsidRDefault="00767173" w:rsidP="00767173">
      <w:pPr>
        <w:pStyle w:val="Prrafodelista"/>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rsidR="00283730" w:rsidRDefault="00283730" w:rsidP="004C1BDC">
      <w:pPr>
        <w:jc w:val="both"/>
        <w:rPr>
          <w:rFonts w:cs="Arial"/>
          <w:i w:val="0"/>
        </w:rPr>
      </w:pPr>
    </w:p>
    <w:p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t xml:space="preserve">CRITERIOS PARA </w:t>
      </w:r>
      <w:smartTag w:uri="urn:schemas-microsoft-com:office:smarttags" w:element="PersonName">
        <w:smartTagPr>
          <w:attr w:name="ProductID" w:val="LA EVALUACIￓN DE"/>
        </w:smartTagPr>
        <w:r w:rsidRPr="004E2A04">
          <w:rPr>
            <w:rFonts w:cs="Arial"/>
            <w:b/>
            <w:i w:val="0"/>
          </w:rPr>
          <w:t>LA EVALUACIÓN DE</w:t>
        </w:r>
      </w:smartTag>
      <w:r w:rsidRPr="004E2A04">
        <w:rPr>
          <w:rFonts w:cs="Arial"/>
          <w:b/>
          <w:i w:val="0"/>
        </w:rPr>
        <w:t xml:space="preserve"> LAS PROPOSICIONES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963B33" w:rsidRPr="004E2A04" w:rsidRDefault="00963B33" w:rsidP="00963B33">
      <w:pPr>
        <w:jc w:val="both"/>
        <w:rPr>
          <w:rFonts w:cs="Arial"/>
          <w:i w:val="0"/>
          <w:color w:val="000000"/>
        </w:rPr>
      </w:pPr>
      <w:r>
        <w:rPr>
          <w:rFonts w:cs="Arial"/>
          <w:i w:val="0"/>
          <w:color w:val="000000"/>
        </w:rPr>
        <w:t>La Convocante</w:t>
      </w:r>
      <w:r w:rsidRPr="004E2A04">
        <w:rPr>
          <w:rFonts w:cs="Arial"/>
          <w:i w:val="0"/>
          <w:color w:val="000000"/>
        </w:rPr>
        <w:t>, para hacer el estudio, análisis y evaluación de la solvencia de las proposiciones, se apegará a lo dispuesto en los</w:t>
      </w:r>
      <w:r w:rsidRPr="004E2A04">
        <w:rPr>
          <w:rFonts w:cs="Arial"/>
          <w:i w:val="0"/>
        </w:rPr>
        <w:t xml:space="preserve"> artículos 38 de la Ley</w:t>
      </w:r>
      <w:r>
        <w:rPr>
          <w:rFonts w:cs="Arial"/>
          <w:i w:val="0"/>
        </w:rPr>
        <w:t>,</w:t>
      </w:r>
      <w:r w:rsidRPr="004E2A04">
        <w:rPr>
          <w:rFonts w:cs="Arial"/>
          <w:i w:val="0"/>
        </w:rPr>
        <w:t xml:space="preserve"> y </w:t>
      </w:r>
      <w:r w:rsidRPr="004E2A04">
        <w:rPr>
          <w:rFonts w:cs="Arial"/>
          <w:i w:val="0"/>
          <w:color w:val="000000"/>
        </w:rPr>
        <w:t>63, fracción II,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963B33" w:rsidRPr="004E2A04" w:rsidRDefault="00963B33" w:rsidP="00963B33">
      <w:pPr>
        <w:jc w:val="both"/>
        <w:rPr>
          <w:rFonts w:cs="Arial"/>
          <w:i w:val="0"/>
        </w:rPr>
      </w:pPr>
    </w:p>
    <w:p w:rsidR="00963B33" w:rsidRPr="004E2A04" w:rsidRDefault="00963B33" w:rsidP="00963B33">
      <w:pPr>
        <w:jc w:val="both"/>
        <w:rPr>
          <w:b/>
          <w:i w:val="0"/>
          <w:color w:val="000000"/>
        </w:rPr>
      </w:pPr>
      <w:r>
        <w:rPr>
          <w:i w:val="0"/>
          <w:color w:val="000000"/>
        </w:rPr>
        <w:t>La Convocante</w:t>
      </w:r>
      <w:r w:rsidRPr="004E2A04">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 procediendo de conformidad con lo establecido por el artículo 66 del Reglamento de la Ley.</w:t>
      </w:r>
    </w:p>
    <w:p w:rsidR="00963B33" w:rsidRPr="004E2A04" w:rsidRDefault="00963B33" w:rsidP="00963B33">
      <w:pPr>
        <w:jc w:val="both"/>
        <w:rPr>
          <w:rFonts w:cs="Arial"/>
          <w:i w:val="0"/>
        </w:rPr>
      </w:pPr>
    </w:p>
    <w:p w:rsidR="00963B33" w:rsidRPr="004E2A04" w:rsidRDefault="00963B33" w:rsidP="00963B33">
      <w:pPr>
        <w:jc w:val="both"/>
        <w:rPr>
          <w:b/>
          <w:i w:val="0"/>
        </w:rPr>
      </w:pPr>
      <w:r w:rsidRPr="004E2A04">
        <w:rPr>
          <w:i w:val="0"/>
        </w:rPr>
        <w:t>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w:t>
      </w:r>
      <w:r>
        <w:rPr>
          <w:i w:val="0"/>
        </w:rPr>
        <w:t xml:space="preserve"> efecto de que la Convocante</w:t>
      </w:r>
      <w:r w:rsidRPr="004E2A04">
        <w:rPr>
          <w:i w:val="0"/>
        </w:rPr>
        <w:t xml:space="preserve"> tenga los elementos necesarios para determinar la solvencia de las condiciones legales, técnicas y económicas requeridas.</w:t>
      </w:r>
    </w:p>
    <w:p w:rsidR="00963B33" w:rsidRPr="004E2A04" w:rsidRDefault="00963B33" w:rsidP="00963B33">
      <w:pPr>
        <w:jc w:val="both"/>
        <w:rPr>
          <w:rFonts w:cs="Arial"/>
          <w:i w:val="0"/>
        </w:rPr>
      </w:pPr>
    </w:p>
    <w:p w:rsidR="00963B33" w:rsidRPr="00963B33" w:rsidRDefault="00963B33" w:rsidP="00963B33">
      <w:pPr>
        <w:jc w:val="both"/>
        <w:rPr>
          <w:i w:val="0"/>
          <w:lang w:val="es-ES_tradnl"/>
        </w:rPr>
      </w:pPr>
      <w:r w:rsidRPr="00963B33">
        <w:rPr>
          <w:i w:val="0"/>
          <w:lang w:val="es-ES_tradnl"/>
        </w:rPr>
        <w:t>La Convocante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963B33" w:rsidRPr="00963B33" w:rsidRDefault="00963B33" w:rsidP="00963B33">
      <w:pPr>
        <w:jc w:val="both"/>
        <w:rPr>
          <w:rFonts w:cs="Arial"/>
          <w:i w:val="0"/>
        </w:rPr>
      </w:pPr>
    </w:p>
    <w:p w:rsidR="00963B33" w:rsidRPr="00963B33" w:rsidRDefault="00963B33" w:rsidP="00963B33">
      <w:pPr>
        <w:pStyle w:val="ROMANOS"/>
        <w:spacing w:after="0" w:line="240" w:lineRule="auto"/>
        <w:ind w:left="0" w:firstLine="0"/>
        <w:rPr>
          <w:rFonts w:cs="Arial"/>
          <w:i w:val="0"/>
          <w:sz w:val="20"/>
        </w:rPr>
      </w:pPr>
      <w:r w:rsidRPr="00963B33">
        <w:rPr>
          <w:rFonts w:cs="Arial"/>
          <w:i w:val="0"/>
          <w:sz w:val="20"/>
          <w:lang w:val="es-MX"/>
        </w:rPr>
        <w:t xml:space="preserve">Para </w:t>
      </w:r>
      <w:r w:rsidRPr="00963B33">
        <w:rPr>
          <w:rFonts w:cs="Arial"/>
          <w:i w:val="0"/>
          <w:sz w:val="20"/>
        </w:rPr>
        <w:t xml:space="preserve">la evaluación de las proposiciones técnicas, la </w:t>
      </w:r>
      <w:r>
        <w:rPr>
          <w:rFonts w:cs="Arial"/>
          <w:i w:val="0"/>
          <w:sz w:val="20"/>
        </w:rPr>
        <w:t>Convocante</w:t>
      </w:r>
      <w:r w:rsidRPr="00963B33">
        <w:rPr>
          <w:rFonts w:cs="Arial"/>
          <w:i w:val="0"/>
          <w:sz w:val="20"/>
        </w:rPr>
        <w:t xml:space="preserve"> asignará la puntuación o unidades porcentuales de conformidad con lo siguiente:</w:t>
      </w:r>
    </w:p>
    <w:p w:rsidR="00963B33" w:rsidRPr="00963B33" w:rsidRDefault="00963B33" w:rsidP="00963B33">
      <w:pPr>
        <w:pStyle w:val="ROMANOS"/>
        <w:tabs>
          <w:tab w:val="left" w:pos="0"/>
          <w:tab w:val="left" w:pos="142"/>
        </w:tabs>
        <w:spacing w:after="0" w:line="240" w:lineRule="auto"/>
        <w:ind w:left="0" w:firstLine="0"/>
        <w:rPr>
          <w:b/>
          <w:i w:val="0"/>
          <w:sz w:val="20"/>
        </w:rPr>
      </w:pPr>
    </w:p>
    <w:p w:rsidR="00963B33" w:rsidRPr="00963B33" w:rsidRDefault="00963B33" w:rsidP="00963B33">
      <w:pPr>
        <w:pStyle w:val="ROMANOS"/>
        <w:tabs>
          <w:tab w:val="left" w:pos="0"/>
          <w:tab w:val="left" w:pos="142"/>
        </w:tabs>
        <w:spacing w:after="0" w:line="240" w:lineRule="auto"/>
        <w:ind w:left="0" w:firstLine="0"/>
        <w:rPr>
          <w:b/>
          <w:i w:val="0"/>
          <w:sz w:val="20"/>
        </w:rPr>
      </w:pPr>
      <w:r w:rsidRPr="00963B33">
        <w:rPr>
          <w:b/>
          <w:i w:val="0"/>
          <w:sz w:val="20"/>
        </w:rPr>
        <w:t>I.</w:t>
      </w:r>
      <w:r w:rsidRPr="00963B33">
        <w:rPr>
          <w:b/>
          <w:i w:val="0"/>
          <w:sz w:val="20"/>
        </w:rPr>
        <w:tab/>
        <w:t xml:space="preserve">La </w:t>
      </w:r>
      <w:r w:rsidRPr="00963B33">
        <w:rPr>
          <w:rFonts w:cs="Arial"/>
          <w:b/>
          <w:i w:val="0"/>
          <w:sz w:val="20"/>
        </w:rPr>
        <w:t>puntuación o unidades porcentuales</w:t>
      </w:r>
      <w:r w:rsidRPr="00963B33">
        <w:rPr>
          <w:b/>
          <w:i w:val="0"/>
          <w:sz w:val="20"/>
        </w:rPr>
        <w:t xml:space="preserve"> a obtener en la propuesta técnica para ser considerada solvente y, por tanto, no ser desechada, será de cuando menos 37.5 de los 50 máximos que se pueden obtener en su evaluación.</w:t>
      </w:r>
    </w:p>
    <w:p w:rsidR="00963B33" w:rsidRPr="00963B33" w:rsidRDefault="00963B33" w:rsidP="00963B33">
      <w:pPr>
        <w:pStyle w:val="texto"/>
        <w:spacing w:after="0" w:line="240" w:lineRule="auto"/>
        <w:ind w:hanging="11"/>
        <w:rPr>
          <w:i w:val="0"/>
          <w:sz w:val="20"/>
        </w:rPr>
      </w:pPr>
    </w:p>
    <w:p w:rsidR="00963B33" w:rsidRPr="004E2A04" w:rsidRDefault="00963B33" w:rsidP="00963B33">
      <w:pPr>
        <w:pStyle w:val="romanos0"/>
        <w:spacing w:after="0" w:line="240" w:lineRule="auto"/>
        <w:ind w:left="0" w:hanging="11"/>
        <w:rPr>
          <w:b/>
          <w:sz w:val="20"/>
          <w:szCs w:val="20"/>
        </w:rPr>
      </w:pPr>
      <w:r w:rsidRPr="004E2A04">
        <w:rPr>
          <w:b/>
          <w:sz w:val="20"/>
          <w:szCs w:val="20"/>
        </w:rPr>
        <w:t>En la propuesta técnica los rubros a considerar serán:</w:t>
      </w:r>
    </w:p>
    <w:p w:rsidR="00963B33" w:rsidRPr="004E2A04" w:rsidRDefault="00963B33" w:rsidP="00963B33">
      <w:pPr>
        <w:pStyle w:val="romanos0"/>
        <w:spacing w:after="0" w:line="240" w:lineRule="auto"/>
        <w:ind w:left="0" w:hanging="11"/>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Calidad en la obra.</w:t>
      </w:r>
      <w:r w:rsidRPr="004E2A04">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963B33" w:rsidRPr="004E2A04" w:rsidRDefault="00963B33" w:rsidP="00963B33">
      <w:pPr>
        <w:pStyle w:val="inciso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lang w:val="es-ES_tradnl"/>
        </w:rPr>
      </w:pPr>
      <w:r w:rsidRPr="004E2A04">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4E2A04">
          <w:rPr>
            <w:sz w:val="20"/>
            <w:szCs w:val="20"/>
            <w:lang w:val="es-ES_tradnl"/>
          </w:rPr>
          <w:t>la Ley Federal</w:t>
        </w:r>
      </w:smartTag>
      <w:r w:rsidRPr="004E2A04">
        <w:rPr>
          <w:sz w:val="20"/>
          <w:szCs w:val="20"/>
          <w:lang w:val="es-ES_tradnl"/>
        </w:rPr>
        <w:t xml:space="preserve"> sobre Metrología y Normalización; en el caso de extranjeros, aceptándose normas equivalentes.</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Capacidad del licitante.</w:t>
      </w:r>
      <w:r w:rsidRPr="004E2A04">
        <w:rPr>
          <w:sz w:val="20"/>
          <w:szCs w:val="20"/>
        </w:rPr>
        <w:t xml:space="preserve"> Consiste en los recursos humanos y económicos con que cuente el licitante, que le permita ejecutar la obra en el tiempo requerido por la </w:t>
      </w:r>
      <w:r>
        <w:rPr>
          <w:sz w:val="20"/>
          <w:szCs w:val="20"/>
        </w:rPr>
        <w:t>Convocante</w:t>
      </w:r>
      <w:r w:rsidRPr="004E2A04">
        <w:rPr>
          <w:sz w:val="20"/>
          <w:szCs w:val="20"/>
        </w:rPr>
        <w:t>, así como otorgar garantías de funcionamiento, servicios de mantenimiento u operación o cualquier otro aspecto indispensable para que el licitante pueda cumplir con las obligaciones previstas en el contrato de obra pública.</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lastRenderedPageBreak/>
        <w:t xml:space="preserve">Los </w:t>
      </w:r>
      <w:r w:rsidRPr="004E2A04">
        <w:rPr>
          <w:sz w:val="20"/>
          <w:szCs w:val="20"/>
          <w:lang w:val="es-ES_tradnl"/>
        </w:rPr>
        <w:t>recursos</w:t>
      </w:r>
      <w:r w:rsidRPr="004E2A04">
        <w:rPr>
          <w:sz w:val="20"/>
          <w:szCs w:val="20"/>
        </w:rPr>
        <w:t xml:space="preserve"> económicos del licitante se comprobarán con documentos que acrediten la capacidad financiera del licitante, tales como declaraciones fiscales, estados </w:t>
      </w:r>
      <w:r w:rsidRPr="004E2A04">
        <w:rPr>
          <w:sz w:val="20"/>
          <w:szCs w:val="20"/>
          <w:lang w:val="es-ES_tradnl"/>
        </w:rPr>
        <w:t>financieros</w:t>
      </w:r>
      <w:r w:rsidRPr="004E2A04">
        <w:rPr>
          <w:sz w:val="20"/>
          <w:szCs w:val="20"/>
        </w:rPr>
        <w:t xml:space="preserve"> dictaminados o no de los últimos dos ejercicios fiscales, o en caso de empresas de nueva creación, los más actualizados a la fecha de presentación de la proposición </w:t>
      </w:r>
      <w:r w:rsidRPr="004E2A04">
        <w:rPr>
          <w:b/>
          <w:sz w:val="20"/>
          <w:szCs w:val="20"/>
        </w:rPr>
        <w:t>(Anexo Técnico AT 6)</w:t>
      </w:r>
      <w:r w:rsidRPr="004E2A04">
        <w:rPr>
          <w:sz w:val="20"/>
          <w:szCs w:val="20"/>
        </w:rPr>
        <w:t>.</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este rubro, se considerará lo dispuesto en el segundo párrafo del artículo 38 de la Ley, a efecto de otorgar puntuación o unidades porcentuales a personas con discapacidad </w:t>
      </w:r>
      <w:r w:rsidRPr="004E2A04">
        <w:rPr>
          <w:b/>
          <w:sz w:val="20"/>
          <w:szCs w:val="20"/>
        </w:rPr>
        <w:t>(Anexo Técnico AT 1</w:t>
      </w:r>
      <w:r w:rsidR="00717368">
        <w:rPr>
          <w:b/>
          <w:sz w:val="20"/>
          <w:szCs w:val="20"/>
        </w:rPr>
        <w:t>3</w:t>
      </w:r>
      <w:r w:rsidRPr="004E2A04">
        <w:rPr>
          <w:b/>
          <w:sz w:val="20"/>
          <w:szCs w:val="20"/>
        </w:rPr>
        <w:t>)</w:t>
      </w:r>
      <w:r w:rsidRPr="004E2A04">
        <w:rPr>
          <w:sz w:val="20"/>
          <w:szCs w:val="20"/>
        </w:rPr>
        <w:t xml:space="preserve"> o a </w:t>
      </w:r>
      <w:r w:rsidRPr="004E2A04">
        <w:rPr>
          <w:sz w:val="20"/>
          <w:szCs w:val="20"/>
          <w:lang w:val="es-ES_tradnl"/>
        </w:rPr>
        <w:t>empresas</w:t>
      </w:r>
      <w:r w:rsidRPr="004E2A04">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4E2A04">
        <w:rPr>
          <w:b/>
          <w:sz w:val="20"/>
          <w:szCs w:val="20"/>
        </w:rPr>
        <w:t>(Anexo Técnico At 1</w:t>
      </w:r>
      <w:r w:rsidR="00717368">
        <w:rPr>
          <w:b/>
          <w:sz w:val="20"/>
          <w:szCs w:val="20"/>
        </w:rPr>
        <w:t>4</w:t>
      </w:r>
      <w:r w:rsidRPr="004E2A04">
        <w:rPr>
          <w:b/>
          <w:sz w:val="20"/>
          <w:szCs w:val="20"/>
        </w:rPr>
        <w:t>).</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Experiencia y especialidad del licitante.</w:t>
      </w:r>
      <w:r w:rsidRPr="004E2A04">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10 (</w:t>
      </w:r>
      <w:r>
        <w:rPr>
          <w:sz w:val="20"/>
          <w:szCs w:val="20"/>
        </w:rPr>
        <w:t>diez</w:t>
      </w:r>
      <w:r w:rsidRPr="004E2A04">
        <w:rPr>
          <w:sz w:val="20"/>
          <w:szCs w:val="20"/>
        </w:rPr>
        <w:t>)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rsidR="00963B33" w:rsidRPr="004E2A04" w:rsidRDefault="00963B33" w:rsidP="00963B33">
      <w:pPr>
        <w:pStyle w:val="romanos0"/>
        <w:spacing w:after="0" w:line="240" w:lineRule="auto"/>
        <w:ind w:left="0" w:firstLine="0"/>
        <w:rPr>
          <w:sz w:val="20"/>
          <w:szCs w:val="20"/>
        </w:rPr>
      </w:pPr>
    </w:p>
    <w:p w:rsidR="00963B33" w:rsidRPr="00963B33" w:rsidRDefault="00963B33" w:rsidP="00963B33">
      <w:pPr>
        <w:pStyle w:val="inciso0"/>
        <w:spacing w:after="0" w:line="240" w:lineRule="auto"/>
        <w:ind w:left="284" w:firstLine="0"/>
        <w:rPr>
          <w:sz w:val="20"/>
          <w:szCs w:val="20"/>
        </w:rPr>
      </w:pPr>
      <w:r w:rsidRPr="004E2A04">
        <w:rPr>
          <w:sz w:val="20"/>
          <w:szCs w:val="20"/>
        </w:rPr>
        <w:t>La acreditación de este rubro podrá realizarse con los contratos o cualquier otro documento que, a co</w:t>
      </w:r>
      <w:r>
        <w:rPr>
          <w:sz w:val="20"/>
          <w:szCs w:val="20"/>
        </w:rPr>
        <w:t>nsideración de la Convocante</w:t>
      </w:r>
      <w:r w:rsidRPr="004E2A04">
        <w:rPr>
          <w:sz w:val="20"/>
          <w:szCs w:val="20"/>
        </w:rPr>
        <w:t xml:space="preserve">, permita que el licitante compruebe que ha ejecutado obras en los términos señalados en los párrafos anteriores de este inciso. Para ello, es requisito indispensable que los licitantes </w:t>
      </w:r>
      <w:r w:rsidRPr="00963B33">
        <w:rPr>
          <w:sz w:val="20"/>
          <w:szCs w:val="20"/>
        </w:rPr>
        <w:t>presenten un mínimo de 5 contratos o documentos</w:t>
      </w:r>
      <w:r w:rsidRPr="004E2A04">
        <w:rPr>
          <w:sz w:val="20"/>
          <w:szCs w:val="20"/>
        </w:rPr>
        <w:t xml:space="preserve">, que hayan suscrito o tengan adjudicados con anterioridad a la fecha de esta convocatoria a la licitación pública y un </w:t>
      </w:r>
      <w:r w:rsidRPr="00963B33">
        <w:rPr>
          <w:sz w:val="20"/>
          <w:szCs w:val="20"/>
        </w:rPr>
        <w:t>tiempo mínimo de experiencia de 3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 xml:space="preserve">Cumplimiento de contratos. </w:t>
      </w:r>
      <w:r w:rsidRPr="004E2A04">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w:t>
      </w:r>
      <w:r>
        <w:rPr>
          <w:sz w:val="20"/>
          <w:szCs w:val="20"/>
        </w:rPr>
        <w:t>diez)</w:t>
      </w:r>
      <w:r w:rsidRPr="004E2A04">
        <w:rPr>
          <w:sz w:val="20"/>
          <w:szCs w:val="20"/>
        </w:rPr>
        <w:t xml:space="preserve"> años.</w:t>
      </w:r>
    </w:p>
    <w:p w:rsidR="00963B33" w:rsidRPr="004E2A04" w:rsidRDefault="00963B33" w:rsidP="00963B33">
      <w:pPr>
        <w:pStyle w:val="romanos0"/>
        <w:spacing w:after="0" w:line="240" w:lineRule="auto"/>
        <w:ind w:left="1080" w:hanging="36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razón de solicitarse un tiempo mínimo </w:t>
      </w:r>
      <w:r w:rsidRPr="00963B33">
        <w:rPr>
          <w:sz w:val="20"/>
          <w:szCs w:val="20"/>
        </w:rPr>
        <w:t>de experiencia de los licitantes de 3 años,</w:t>
      </w:r>
      <w:r w:rsidRPr="004E2A04">
        <w:rPr>
          <w:sz w:val="20"/>
          <w:szCs w:val="20"/>
        </w:rPr>
        <w:t xml:space="preserve">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Los contratos cumplidos podrán ser los correspondientes a los presentados por el licitante para acreditar el rubro señalado en el inciso c) de esta fracción;</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Contenido nacional.</w:t>
      </w:r>
      <w:r w:rsidRPr="004E2A04">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963B33" w:rsidRPr="004E2A04" w:rsidRDefault="00963B33" w:rsidP="00963B33">
      <w:pPr>
        <w:pStyle w:val="inciso0"/>
        <w:spacing w:after="0" w:line="240" w:lineRule="auto"/>
        <w:ind w:left="0" w:firstLine="0"/>
        <w:rPr>
          <w:b/>
          <w:bCs/>
          <w:sz w:val="20"/>
          <w:szCs w:val="20"/>
          <w:lang w:val="es-ES_tradnl"/>
        </w:rPr>
      </w:pPr>
    </w:p>
    <w:p w:rsidR="00FC58B3" w:rsidRDefault="00FC58B3" w:rsidP="00963B33">
      <w:pPr>
        <w:pStyle w:val="inciso0"/>
        <w:spacing w:after="0" w:line="240" w:lineRule="auto"/>
        <w:ind w:left="284" w:firstLine="0"/>
        <w:rPr>
          <w:sz w:val="20"/>
          <w:szCs w:val="20"/>
          <w:lang w:val="es-ES_tradnl"/>
        </w:rPr>
      </w:pPr>
    </w:p>
    <w:p w:rsidR="00963B33" w:rsidRPr="00963B33" w:rsidRDefault="00963B33" w:rsidP="00963B33">
      <w:pPr>
        <w:pStyle w:val="inciso0"/>
        <w:spacing w:after="0" w:line="240" w:lineRule="auto"/>
        <w:ind w:left="284" w:firstLine="0"/>
        <w:rPr>
          <w:sz w:val="20"/>
          <w:szCs w:val="20"/>
          <w:lang w:val="es-ES_tradnl"/>
        </w:rPr>
      </w:pPr>
      <w:r w:rsidRPr="004E2A04">
        <w:rPr>
          <w:sz w:val="20"/>
          <w:szCs w:val="20"/>
          <w:lang w:val="es-ES_tradnl"/>
        </w:rPr>
        <w:lastRenderedPageBreak/>
        <w:t xml:space="preserve">A efecto de acreditar este rubro, el licitante deberá presentar un análisis que contenga los materiales, maquinaria y equipo nacional a utilizar y el porcentaje que representa con respecto del valor de los </w:t>
      </w:r>
      <w:r w:rsidRPr="004E2A04">
        <w:rPr>
          <w:sz w:val="20"/>
          <w:szCs w:val="20"/>
        </w:rPr>
        <w:t>trabajos</w:t>
      </w:r>
      <w:r w:rsidRPr="004E2A04">
        <w:rPr>
          <w:sz w:val="20"/>
          <w:szCs w:val="20"/>
          <w:lang w:val="es-ES_tradnl"/>
        </w:rPr>
        <w:t xml:space="preserve"> a ejecutar, así como el porcentaje de mano de obra nacional que utilizará para ejecutar los </w:t>
      </w:r>
      <w:r w:rsidRPr="00963B33">
        <w:rPr>
          <w:sz w:val="20"/>
          <w:szCs w:val="20"/>
          <w:lang w:val="es-ES_tradnl"/>
        </w:rPr>
        <w:t>mismos, y</w:t>
      </w:r>
    </w:p>
    <w:p w:rsidR="00963B33" w:rsidRPr="00963B33" w:rsidRDefault="00963B33" w:rsidP="00963B33">
      <w:pPr>
        <w:pStyle w:val="romanos0"/>
        <w:spacing w:after="0" w:line="240" w:lineRule="auto"/>
        <w:ind w:left="0" w:firstLine="0"/>
        <w:rPr>
          <w:b/>
          <w:bCs/>
          <w:sz w:val="20"/>
          <w:szCs w:val="20"/>
          <w:lang w:val="es-ES_tradnl"/>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1.</w:t>
      </w:r>
      <w:r w:rsidRPr="00963B33">
        <w:rPr>
          <w:b/>
          <w:bCs/>
          <w:i w:val="0"/>
          <w:sz w:val="20"/>
        </w:rPr>
        <w:tab/>
        <w:t>Calidad en la obra.</w:t>
      </w:r>
      <w:r w:rsidRPr="00963B33">
        <w:rPr>
          <w:i w:val="0"/>
          <w:sz w:val="20"/>
        </w:rPr>
        <w:t xml:space="preserve"> Este rubro tendrá una puntuación o unidades porcentuales de 18, que serán distribuidos, entre los subrubros, que como mínimo a continuación se mencionan:</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4E2A04">
        <w:rPr>
          <w:i w:val="0"/>
          <w:sz w:val="20"/>
        </w:rPr>
        <w:t xml:space="preserve">Materiales y maquinaria y equipo de </w:t>
      </w:r>
      <w:r w:rsidRPr="00963B33">
        <w:rPr>
          <w:i w:val="0"/>
          <w:sz w:val="20"/>
        </w:rPr>
        <w:t>instalación permanente 1 punto o unidad porcentual;</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s>
        <w:spacing w:after="0" w:line="240" w:lineRule="auto"/>
        <w:ind w:left="426" w:hanging="142"/>
        <w:rPr>
          <w:i w:val="0"/>
          <w:sz w:val="20"/>
        </w:rPr>
      </w:pPr>
      <w:r w:rsidRPr="00963B33">
        <w:rPr>
          <w:i w:val="0"/>
          <w:sz w:val="20"/>
        </w:rPr>
        <w:t>Mano de obra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963B33">
        <w:rPr>
          <w:i w:val="0"/>
          <w:sz w:val="20"/>
        </w:rPr>
        <w:t>Maquinaria y equipo de construcción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Esquema estructural de la organización de los profesionales técnicos que se encargarán de la dirección y coordinación de los trabajos 2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Procedimientos constructivos. Se valorará las formas y técnicas que el licitante utilizará para la ejecución de los trabajos 3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w:t>
      </w:r>
      <w:r w:rsidRPr="00963B33">
        <w:rPr>
          <w:i w:val="0"/>
          <w:sz w:val="20"/>
        </w:rPr>
        <w:t>permanente, de utilización del equipo y maquinaria de construcción, de mantenimiento y operación, así como pagos programados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Sistema </w:t>
      </w:r>
      <w:r w:rsidRPr="00963B33">
        <w:rPr>
          <w:i w:val="0"/>
          <w:sz w:val="20"/>
        </w:rPr>
        <w:t>de aseguramiento de calidad. Se valorará el sistema que al respecto presente el licitante 2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Descripción de la planeación </w:t>
      </w:r>
      <w:r w:rsidRPr="00963B33">
        <w:rPr>
          <w:i w:val="0"/>
          <w:sz w:val="20"/>
        </w:rPr>
        <w:t>integral para la ejecución de los trabajos atendiendo a las características, complejidad y magnitud de las obras 1 punto o unidad porcentual.</w:t>
      </w:r>
    </w:p>
    <w:p w:rsidR="00963B33" w:rsidRPr="00963B33" w:rsidRDefault="00963B33" w:rsidP="00963B33">
      <w:pPr>
        <w:pStyle w:val="texto"/>
        <w:spacing w:after="0" w:line="240" w:lineRule="auto"/>
        <w:ind w:firstLine="0"/>
        <w:rPr>
          <w:b/>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2.</w:t>
      </w:r>
      <w:r w:rsidRPr="00963B33">
        <w:rPr>
          <w:b/>
          <w:bCs/>
          <w:i w:val="0"/>
          <w:sz w:val="20"/>
        </w:rPr>
        <w:tab/>
        <w:t>Capacidad del licitante</w:t>
      </w:r>
      <w:r w:rsidRPr="00963B33">
        <w:rPr>
          <w:b/>
          <w:i w:val="0"/>
          <w:sz w:val="20"/>
        </w:rPr>
        <w:t>.</w:t>
      </w:r>
      <w:r w:rsidRPr="00963B33">
        <w:rPr>
          <w:i w:val="0"/>
          <w:sz w:val="20"/>
        </w:rPr>
        <w:t xml:space="preserve"> Este rubro tendrá una puntuación de 12 puntos o unidades porcentuales, que serán distribuidos, entre los subrubros, que como mínimo se indican a continuación: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humanos.</w:t>
      </w:r>
      <w:r w:rsidRPr="004E2A04">
        <w:rPr>
          <w:i w:val="0"/>
          <w:sz w:val="2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w:t>
      </w:r>
      <w:r>
        <w:rPr>
          <w:i w:val="0"/>
          <w:sz w:val="20"/>
        </w:rPr>
        <w:t xml:space="preserve">eterminada por la Convocante </w:t>
      </w:r>
      <w:r w:rsidRPr="004E2A04">
        <w:rPr>
          <w:i w:val="0"/>
          <w:sz w:val="20"/>
        </w:rPr>
        <w:t>para el 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Será necesaria la existencia de un responsable de grupo de trabajo o jefe de equipo o proyecto, así como de miembros que integren un grupo de trabajo.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A efecto de evaluar la preparación de cada una de las citadas personas, se asignará la puntuación o unidades porcentuales conforme a los siguientes aspectos: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spacing w:after="0" w:line="240" w:lineRule="auto"/>
        <w:ind w:left="1418" w:hanging="851"/>
        <w:rPr>
          <w:i w:val="0"/>
          <w:sz w:val="20"/>
        </w:rPr>
      </w:pPr>
      <w:r w:rsidRPr="00963B33">
        <w:rPr>
          <w:bCs/>
          <w:i w:val="0"/>
          <w:sz w:val="20"/>
        </w:rPr>
        <w:t>Primero.</w:t>
      </w:r>
      <w:r w:rsidRPr="00963B33">
        <w:rPr>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963B33" w:rsidRPr="00963B33" w:rsidRDefault="00963B33" w:rsidP="00963B33">
      <w:pPr>
        <w:pStyle w:val="texto"/>
        <w:spacing w:after="0" w:line="240" w:lineRule="auto"/>
        <w:ind w:left="1418" w:hanging="851"/>
        <w:rPr>
          <w:i w:val="0"/>
          <w:sz w:val="20"/>
        </w:rPr>
      </w:pPr>
    </w:p>
    <w:p w:rsidR="00963B33" w:rsidRPr="00963B33" w:rsidRDefault="00963B33" w:rsidP="00963B33">
      <w:pPr>
        <w:pStyle w:val="texto"/>
        <w:tabs>
          <w:tab w:val="left" w:pos="1418"/>
          <w:tab w:val="left" w:pos="1560"/>
        </w:tabs>
        <w:spacing w:after="0" w:line="240" w:lineRule="auto"/>
        <w:ind w:left="1418" w:hanging="851"/>
        <w:rPr>
          <w:i w:val="0"/>
          <w:sz w:val="20"/>
        </w:rPr>
      </w:pPr>
      <w:r w:rsidRPr="00963B33">
        <w:rPr>
          <w:bCs/>
          <w:i w:val="0"/>
          <w:sz w:val="20"/>
        </w:rPr>
        <w:t>Segundo.</w:t>
      </w:r>
      <w:r w:rsidRPr="00963B33">
        <w:rPr>
          <w:i w:val="0"/>
          <w:sz w:val="20"/>
        </w:rPr>
        <w:tab/>
        <w:t>Competencia o habilidad en el trabajo de acuerdo a sus conocimientos académicos o profesionales. Este aspecto tendrá un valor de ponderación del 50% de la puntuación o unidades porcentuales asignadas a este subrubro; y</w:t>
      </w:r>
    </w:p>
    <w:p w:rsidR="00963B33" w:rsidRPr="00963B33" w:rsidRDefault="00963B33" w:rsidP="00963B33">
      <w:pPr>
        <w:pStyle w:val="texto"/>
        <w:spacing w:after="0" w:line="240" w:lineRule="auto"/>
        <w:ind w:left="1418" w:hanging="851"/>
        <w:rPr>
          <w:i w:val="0"/>
          <w:sz w:val="20"/>
        </w:rPr>
      </w:pPr>
    </w:p>
    <w:p w:rsidR="00963B33" w:rsidRPr="004E2A04" w:rsidRDefault="00963B33" w:rsidP="00963B33">
      <w:pPr>
        <w:pStyle w:val="texto"/>
        <w:spacing w:after="0" w:line="240" w:lineRule="auto"/>
        <w:ind w:left="1418" w:hanging="851"/>
        <w:rPr>
          <w:i w:val="0"/>
          <w:sz w:val="20"/>
        </w:rPr>
      </w:pPr>
      <w:r w:rsidRPr="00963B33">
        <w:rPr>
          <w:bCs/>
          <w:i w:val="0"/>
          <w:sz w:val="20"/>
        </w:rPr>
        <w:lastRenderedPageBreak/>
        <w:t>Tercero.</w:t>
      </w:r>
      <w:r w:rsidRPr="00963B33">
        <w:rPr>
          <w:i w:val="0"/>
          <w:sz w:val="20"/>
        </w:rPr>
        <w:tab/>
        <w:t>Dominio de herramientas relacionadas con la obra a ejecutar, como puede ser el idioma, programas</w:t>
      </w:r>
      <w:r w:rsidRPr="004E2A04">
        <w:rPr>
          <w:i w:val="0"/>
          <w:sz w:val="20"/>
        </w:rPr>
        <w:t xml:space="preserve"> informáticos o participación en la resolución o tratamiento de problemáticas similares a la que sea materia de la obra. Este aspecto tendrá un valor de ponderación del 20% de la puntuación o unidades porcentuales asignadas a este subrubro.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La suma de los valores de ponderación determinados para cada uno de los tres aspectos señalados, será igual al total de la puntuación o unidades porcentuales asignadas para el presente subrubro.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económicos.</w:t>
      </w:r>
      <w:r w:rsidRPr="004E2A04">
        <w:rPr>
          <w:i w:val="0"/>
          <w:sz w:val="20"/>
        </w:rPr>
        <w:t xml:space="preserve"> La puntuación o unidades porcentuales asignadas representará, cuando menos, el 40</w:t>
      </w:r>
      <w:r w:rsidRPr="00963B33">
        <w:rPr>
          <w:i w:val="0"/>
          <w:sz w:val="20"/>
        </w:rPr>
        <w:t>% de la ponderación total determinada por la Convocante para el rubro, aplicándose una asignación de 5 puntos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 xml:space="preserve">Para efectos de la evaluación en </w:t>
      </w:r>
      <w:r>
        <w:rPr>
          <w:i w:val="0"/>
          <w:sz w:val="20"/>
        </w:rPr>
        <w:t>este subrubro, la Convocante</w:t>
      </w:r>
      <w:r w:rsidRPr="004E2A04">
        <w:rPr>
          <w:i w:val="0"/>
          <w:sz w:val="20"/>
        </w:rPr>
        <w:t>, verificará en los estados financieros de los licitantes los siguientes aspectos:</w:t>
      </w:r>
    </w:p>
    <w:p w:rsidR="00963B33" w:rsidRPr="004E2A04" w:rsidRDefault="00963B33" w:rsidP="00963B33">
      <w:pPr>
        <w:pStyle w:val="texto"/>
        <w:spacing w:after="0" w:line="240" w:lineRule="auto"/>
        <w:ind w:left="567" w:firstLine="0"/>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t>1.-</w:t>
      </w:r>
      <w:r w:rsidRPr="004E2A04">
        <w:rPr>
          <w:i w:val="0"/>
          <w:sz w:val="20"/>
        </w:rPr>
        <w:tab/>
      </w:r>
      <w:r w:rsidRPr="004E2A04">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963B33" w:rsidRPr="004E2A04" w:rsidRDefault="00963B33" w:rsidP="00963B33">
      <w:pPr>
        <w:pStyle w:val="texto"/>
        <w:spacing w:after="0" w:line="240" w:lineRule="auto"/>
        <w:ind w:left="993" w:hanging="426"/>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t>2.-</w:t>
      </w:r>
      <w:r w:rsidRPr="004E2A04">
        <w:rPr>
          <w:i w:val="0"/>
          <w:sz w:val="20"/>
        </w:rPr>
        <w:tab/>
      </w:r>
      <w:r w:rsidRPr="004E2A04">
        <w:rPr>
          <w:i w:val="0"/>
          <w:sz w:val="20"/>
          <w:lang w:val="es-MX"/>
        </w:rPr>
        <w:t>Que el licitante tenga capacidad para pagar sus obligaciones; y</w:t>
      </w:r>
    </w:p>
    <w:p w:rsidR="00963B33" w:rsidRPr="004E2A04" w:rsidRDefault="00963B33" w:rsidP="00963B33">
      <w:pPr>
        <w:pStyle w:val="texto"/>
        <w:spacing w:after="0" w:line="240" w:lineRule="auto"/>
        <w:ind w:left="993" w:hanging="426"/>
        <w:rPr>
          <w:i w:val="0"/>
          <w:sz w:val="20"/>
          <w:lang w:val="es-MX"/>
        </w:rPr>
      </w:pPr>
    </w:p>
    <w:p w:rsidR="00963B33" w:rsidRPr="004E2A04" w:rsidRDefault="00963B33" w:rsidP="00963B33">
      <w:pPr>
        <w:pStyle w:val="texto"/>
        <w:spacing w:after="0" w:line="240" w:lineRule="auto"/>
        <w:ind w:left="993" w:hanging="426"/>
        <w:rPr>
          <w:i w:val="0"/>
          <w:sz w:val="20"/>
          <w:lang w:val="es-MX"/>
        </w:rPr>
      </w:pPr>
      <w:r w:rsidRPr="004E2A04">
        <w:rPr>
          <w:b/>
          <w:i w:val="0"/>
          <w:sz w:val="20"/>
          <w:lang w:val="es-MX"/>
        </w:rPr>
        <w:t>3.-</w:t>
      </w:r>
      <w:r w:rsidRPr="004E2A04">
        <w:rPr>
          <w:i w:val="0"/>
          <w:sz w:val="20"/>
          <w:lang w:val="es-MX"/>
        </w:rPr>
        <w:tab/>
        <w:t>El grado en que el licitante depende del endeudamiento y la rentabilidad de la empresa;</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Participación de discapacitados o empresas que cuenten con trabajadores con discapacidad.</w:t>
      </w:r>
      <w:r w:rsidRPr="004E2A04">
        <w:rPr>
          <w:i w:val="0"/>
          <w:sz w:val="20"/>
        </w:rPr>
        <w:t xml:space="preserve"> Cuando se trate de empresas, se asignará de manera proporcional la puntuación o unidades porcentuales establecidas para este </w:t>
      </w:r>
      <w:r w:rsidRPr="00963B33">
        <w:rPr>
          <w:i w:val="0"/>
          <w:sz w:val="20"/>
        </w:rPr>
        <w:t>subrubro, conforme al número de trabajadores con discapacidad que acrediten tener, aplicándose una asignación de 1 punto o unidad porcentual;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Subcontratación de MIPYMES.</w:t>
      </w:r>
      <w:r w:rsidRPr="004E2A04">
        <w:rPr>
          <w:i w:val="0"/>
          <w:sz w:val="20"/>
        </w:rPr>
        <w:t xml:space="preserve"> Se otorgará la mayor cantidad de puntos o unidades porcentuales, al licitante que se comprometa a subcontratar el mayor número de micro, pequeñas o medianas empresas (MIPYMES</w:t>
      </w:r>
      <w:r w:rsidRPr="00963B33">
        <w:rPr>
          <w:i w:val="0"/>
          <w:sz w:val="20"/>
        </w:rPr>
        <w:t>) de nacionalidad mexicana en la ejecución de los trabajos, aplicándose una asignación de 1 punto o unidad porcentual.</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963B33" w:rsidRDefault="00963B33" w:rsidP="00963B33">
      <w:pPr>
        <w:pStyle w:val="texto"/>
        <w:spacing w:after="0" w:line="240" w:lineRule="auto"/>
        <w:ind w:firstLine="0"/>
        <w:rPr>
          <w:i w:val="0"/>
          <w:sz w:val="20"/>
        </w:rPr>
      </w:pPr>
    </w:p>
    <w:p w:rsidR="00FC58B3" w:rsidRPr="004E2A04" w:rsidRDefault="00FC58B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rPr>
      </w:pPr>
      <w:r w:rsidRPr="004E2A04">
        <w:rPr>
          <w:b/>
          <w:bCs/>
          <w:i w:val="0"/>
        </w:rPr>
        <w:t>3.</w:t>
      </w:r>
      <w:r w:rsidRPr="004E2A04">
        <w:rPr>
          <w:b/>
          <w:bCs/>
          <w:i w:val="0"/>
        </w:rPr>
        <w:tab/>
        <w:t xml:space="preserve">Experiencia y especialidad del licitante. </w:t>
      </w:r>
      <w:r w:rsidRPr="004E2A04">
        <w:rPr>
          <w:i w:val="0"/>
        </w:rPr>
        <w:t xml:space="preserve">Este rubro tendrá una puntuación o unidades </w:t>
      </w:r>
      <w:r w:rsidRPr="00963B33">
        <w:rPr>
          <w:i w:val="0"/>
        </w:rPr>
        <w:t>porcentuales de 12, que serán distribuidos, entre los subrubros, como mínimo de la siguiente forma:</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Experiencia.</w:t>
      </w:r>
      <w:r w:rsidRPr="004E2A04">
        <w:rPr>
          <w:i w:val="0"/>
          <w:sz w:val="20"/>
        </w:rPr>
        <w:t xml:space="preserve"> Mayor tiempo ejecutando obras similares a las requeridas en este procedimiento de contratación,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Especialidad.</w:t>
      </w:r>
      <w:r w:rsidRPr="004E2A04">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Pr>
          <w:i w:val="0"/>
          <w:sz w:val="20"/>
        </w:rPr>
        <w:lastRenderedPageBreak/>
        <w:t xml:space="preserve">La Convocante </w:t>
      </w:r>
      <w:r w:rsidRPr="004E2A04">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4.</w:t>
      </w:r>
      <w:r w:rsidRPr="00963B33">
        <w:rPr>
          <w:b/>
          <w:bCs/>
          <w:i w:val="0"/>
          <w:sz w:val="20"/>
        </w:rPr>
        <w:tab/>
        <w:t xml:space="preserve">Cumplimiento de contratos. </w:t>
      </w:r>
      <w:r w:rsidRPr="00963B33">
        <w:rPr>
          <w:i w:val="0"/>
          <w:sz w:val="20"/>
        </w:rPr>
        <w:t>La puntuación o unidades porcentuales que corresponden a este rubro será de 5 puntos o unidades porcentuales.</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t xml:space="preserve">Se asignará mayor puntuación o unidades porcentuales al licitante que demuestre documentalmente tener más contratos cumplidos satisfactoriamente en términos del Reglamento de la Ley, a partir </w:t>
      </w:r>
      <w:r w:rsidRPr="00BA3A0A">
        <w:rPr>
          <w:i w:val="0"/>
          <w:sz w:val="20"/>
        </w:rPr>
        <w:t>de 5 contratos, y al resto de los licitantes se les asignará puntuación o unidades porcentuales de man</w:t>
      </w:r>
      <w:r w:rsidRPr="004E2A04">
        <w:rPr>
          <w:i w:val="0"/>
          <w:sz w:val="20"/>
        </w:rPr>
        <w:t>era proporcional al número de contratos que acreditó haber cumplido. En caso de no presentar el mínimo de contratos requerido, no se asignarán puntuación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963B33" w:rsidRPr="00BA3A0A" w:rsidRDefault="00963B33" w:rsidP="00963B33">
      <w:pPr>
        <w:pStyle w:val="texto"/>
        <w:spacing w:after="0" w:line="240" w:lineRule="auto"/>
        <w:ind w:firstLine="0"/>
        <w:rPr>
          <w:i w:val="0"/>
          <w:sz w:val="20"/>
        </w:rPr>
      </w:pPr>
    </w:p>
    <w:p w:rsidR="00963B33" w:rsidRPr="00BA3A0A" w:rsidRDefault="00963B33" w:rsidP="00963B33">
      <w:pPr>
        <w:pStyle w:val="ROMANOS"/>
        <w:tabs>
          <w:tab w:val="left" w:pos="284"/>
        </w:tabs>
        <w:spacing w:after="0" w:line="240" w:lineRule="auto"/>
        <w:ind w:left="284" w:hanging="284"/>
        <w:rPr>
          <w:i w:val="0"/>
          <w:sz w:val="20"/>
        </w:rPr>
      </w:pPr>
      <w:r w:rsidRPr="00BA3A0A">
        <w:rPr>
          <w:b/>
          <w:bCs/>
          <w:i w:val="0"/>
          <w:sz w:val="20"/>
        </w:rPr>
        <w:t>5.</w:t>
      </w:r>
      <w:r w:rsidRPr="00BA3A0A">
        <w:rPr>
          <w:b/>
          <w:bCs/>
          <w:i w:val="0"/>
          <w:sz w:val="20"/>
        </w:rPr>
        <w:tab/>
        <w:t>Contenido nacional.</w:t>
      </w:r>
      <w:r w:rsidRPr="00BA3A0A">
        <w:rPr>
          <w:i w:val="0"/>
          <w:sz w:val="20"/>
        </w:rPr>
        <w:t xml:space="preserve"> Este rubro tendrá una puntuación o unidades porcentuales de 3, que serán distribuidos, entre los subrubros, como mínimo de la siguiente forma:</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Materiales y maquinaria y equipo de instalación permanente.</w:t>
      </w:r>
      <w:r w:rsidRPr="004E2A04">
        <w:rPr>
          <w:i w:val="0"/>
          <w:sz w:val="20"/>
        </w:rPr>
        <w:t xml:space="preserve"> Este subrubro tendrá un valor de ponderación del 50% de la puntuación o unidades porcentuales asignadas al rubro, aplicándose una asignación </w:t>
      </w:r>
      <w:r w:rsidRPr="00BA3A0A">
        <w:rPr>
          <w:i w:val="0"/>
          <w:sz w:val="20"/>
        </w:rPr>
        <w:t>de 1.5 puntos o unidades porcentuales, y</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Mano de obra.</w:t>
      </w:r>
      <w:r w:rsidRPr="004E2A04">
        <w:rPr>
          <w:i w:val="0"/>
          <w:sz w:val="20"/>
        </w:rPr>
        <w:t xml:space="preserve"> Este subrubro tendrá un valor de ponderación del 50</w:t>
      </w:r>
      <w:r w:rsidRPr="00BA3A0A">
        <w:rPr>
          <w:i w:val="0"/>
          <w:sz w:val="20"/>
        </w:rPr>
        <w:t>% de la puntuación o unidades porcentuales asignadas al rubro, aplicándose una asignación de 1.5 puntos o unidades porcentuales, y</w:t>
      </w:r>
    </w:p>
    <w:p w:rsidR="00963B33" w:rsidRPr="004E2A04" w:rsidRDefault="00963B33" w:rsidP="00963B33">
      <w:pPr>
        <w:pStyle w:val="texto"/>
        <w:spacing w:after="0" w:line="240" w:lineRule="auto"/>
        <w:ind w:left="284" w:hanging="284"/>
        <w:rPr>
          <w:b/>
          <w:i w:val="0"/>
          <w:sz w:val="20"/>
        </w:rPr>
      </w:pPr>
      <w:r w:rsidRPr="004E2A04">
        <w:rPr>
          <w:b/>
          <w:i w:val="0"/>
          <w:sz w:val="20"/>
        </w:rPr>
        <w:t>II.</w:t>
      </w:r>
      <w:r w:rsidRPr="004E2A04">
        <w:rPr>
          <w:b/>
          <w:i w:val="0"/>
          <w:sz w:val="20"/>
        </w:rPr>
        <w:tab/>
        <w:t>El total de puntuación o unidades porcentuales de la propuesta económica, deberá tener un valor numérico máximo de 50.</w:t>
      </w:r>
    </w:p>
    <w:p w:rsidR="00963B33" w:rsidRPr="004E2A04" w:rsidRDefault="00963B33" w:rsidP="00963B33">
      <w:pPr>
        <w:pStyle w:val="texto"/>
        <w:spacing w:after="0" w:line="240" w:lineRule="auto"/>
        <w:ind w:firstLine="0"/>
        <w:rPr>
          <w:b/>
          <w:i w:val="0"/>
          <w:sz w:val="20"/>
          <w:lang w:val="es-ES"/>
        </w:rPr>
      </w:pPr>
    </w:p>
    <w:p w:rsidR="00963B33" w:rsidRPr="004E2A04" w:rsidRDefault="00963B33" w:rsidP="00963B33">
      <w:pPr>
        <w:pStyle w:val="texto"/>
        <w:spacing w:after="0" w:line="240" w:lineRule="auto"/>
        <w:ind w:left="284" w:hanging="284"/>
        <w:rPr>
          <w:b/>
          <w:bCs/>
          <w:i w:val="0"/>
          <w:sz w:val="20"/>
        </w:rPr>
      </w:pPr>
      <w:r w:rsidRPr="004E2A04">
        <w:rPr>
          <w:b/>
          <w:i w:val="0"/>
          <w:sz w:val="20"/>
        </w:rPr>
        <w:t>En la propuesta económica los rubros a considerar serán: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4"/>
        </w:numPr>
        <w:tabs>
          <w:tab w:val="clear" w:pos="744"/>
          <w:tab w:val="num" w:pos="840"/>
        </w:tabs>
        <w:spacing w:after="0" w:line="240" w:lineRule="auto"/>
        <w:ind w:left="284" w:hanging="284"/>
        <w:rPr>
          <w:i w:val="0"/>
          <w:sz w:val="20"/>
        </w:rPr>
      </w:pPr>
      <w:r w:rsidRPr="004E2A04">
        <w:rPr>
          <w:b/>
          <w:bCs/>
          <w:i w:val="0"/>
          <w:sz w:val="20"/>
        </w:rPr>
        <w:t>Precio.</w:t>
      </w:r>
      <w:r w:rsidRPr="004E2A04">
        <w:rPr>
          <w:i w:val="0"/>
          <w:sz w:val="20"/>
        </w:rPr>
        <w:t xml:space="preserve"> Para evaluar este rubro, se excluirá del precio ofertado por el licitante el Impuesto al Valor Agregado y sólo se considerará el precio neto propuesto.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El total de puntuación o unidades porcentuales para el presente rubro será de 50. La propuesta económica que resulte ser la más baja de las técnicamente aceptadas, deberá asignársele la puntuación máxima que corresponda.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Para llevar a cabo la evaluación de la propuesta económica, se verificará que el análisis, cálculo e integración de los precios cumplan con la condición de pago establecida en esta convocatoria en términos del artículo 45 de la Ley. En caso de incumplimiento en la integración de los precios, que no pueda subsanarse mediante requerimiento de aclaraciones, documentación o información al licitante en términos del artículo 38 cuarto párrafo de la Ley</w:t>
      </w:r>
      <w:r w:rsidR="00BA3A0A">
        <w:rPr>
          <w:sz w:val="20"/>
          <w:szCs w:val="20"/>
        </w:rPr>
        <w:t>,</w:t>
      </w:r>
      <w:r w:rsidRPr="004E2A04">
        <w:rPr>
          <w:sz w:val="20"/>
          <w:szCs w:val="20"/>
        </w:rPr>
        <w:t xml:space="preserve"> y que no impliquen una causal de desechamiento prevista en esta convocatoria a la licit</w:t>
      </w:r>
      <w:r>
        <w:rPr>
          <w:sz w:val="20"/>
          <w:szCs w:val="20"/>
        </w:rPr>
        <w:t xml:space="preserve">ación pública, la </w:t>
      </w:r>
      <w:r w:rsidR="00BA3A0A">
        <w:rPr>
          <w:sz w:val="20"/>
          <w:szCs w:val="20"/>
        </w:rPr>
        <w:t>Convocante</w:t>
      </w:r>
      <w:r w:rsidRPr="004E2A04">
        <w:rPr>
          <w:sz w:val="20"/>
          <w:szCs w:val="20"/>
        </w:rPr>
        <w:t xml:space="preserve"> se abstendrá de otorgar puntuación o unidades porcentuales en este rubro, por no contar con los elementos suficientes para verificar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lang w:val="es-ES"/>
        </w:rPr>
      </w:pPr>
      <w:r w:rsidRPr="004E2A04">
        <w:rPr>
          <w:sz w:val="20"/>
          <w:szCs w:val="20"/>
        </w:rPr>
        <w:t>Para determinar la puntuación o unidades porcentuales que correspondan al precio ofertado por cada licitante, se aplicará la siguiente fórmula:</w:t>
      </w:r>
    </w:p>
    <w:p w:rsidR="00963B33" w:rsidRPr="002E5D53" w:rsidRDefault="00963B33" w:rsidP="00963B33">
      <w:pPr>
        <w:pStyle w:val="texto"/>
        <w:spacing w:after="0" w:line="240" w:lineRule="auto"/>
        <w:ind w:firstLine="0"/>
        <w:rPr>
          <w:i w:val="0"/>
          <w:sz w:val="20"/>
          <w:lang w:val="es-ES"/>
        </w:rPr>
      </w:pPr>
    </w:p>
    <w:p w:rsidR="00963B33" w:rsidRPr="004E2A04" w:rsidRDefault="00963B33" w:rsidP="00963B33">
      <w:pPr>
        <w:pStyle w:val="inciso0"/>
        <w:spacing w:after="0" w:line="240" w:lineRule="auto"/>
        <w:ind w:left="0" w:firstLine="360"/>
        <w:jc w:val="center"/>
        <w:rPr>
          <w:b/>
          <w:sz w:val="20"/>
          <w:szCs w:val="20"/>
          <w:lang w:val="pt-BR"/>
        </w:rPr>
      </w:pPr>
      <w:r w:rsidRPr="004E2A04">
        <w:rPr>
          <w:b/>
          <w:sz w:val="20"/>
          <w:szCs w:val="20"/>
          <w:lang w:val="pt-BR"/>
        </w:rPr>
        <w:t>PPAj = 50(PSPMB/PPj)      Para toda j = 1, 2,…..,n</w:t>
      </w:r>
    </w:p>
    <w:p w:rsidR="00963B33" w:rsidRPr="004E2A04" w:rsidRDefault="00963B33" w:rsidP="00963B33">
      <w:pPr>
        <w:pStyle w:val="texto"/>
        <w:spacing w:after="0" w:line="240" w:lineRule="auto"/>
        <w:ind w:firstLine="0"/>
        <w:rPr>
          <w:i w:val="0"/>
          <w:sz w:val="20"/>
          <w:lang w:val="pt-BR"/>
        </w:rPr>
      </w:pPr>
    </w:p>
    <w:p w:rsidR="00963B33" w:rsidRPr="004E2A04" w:rsidRDefault="00963B33" w:rsidP="00963B33">
      <w:pPr>
        <w:pStyle w:val="romanos0"/>
        <w:spacing w:after="0" w:line="240" w:lineRule="auto"/>
        <w:ind w:left="284" w:firstLine="0"/>
        <w:rPr>
          <w:b/>
          <w:sz w:val="20"/>
          <w:szCs w:val="20"/>
        </w:rPr>
      </w:pPr>
      <w:r w:rsidRPr="004E2A04">
        <w:rPr>
          <w:b/>
          <w:sz w:val="20"/>
          <w:szCs w:val="20"/>
        </w:rPr>
        <w:t>Dónde:</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PPAj</w:t>
      </w:r>
      <w:r w:rsidRPr="004E2A04">
        <w:rPr>
          <w:sz w:val="20"/>
          <w:szCs w:val="20"/>
        </w:rPr>
        <w:t xml:space="preserve"> = Puntuación o unidades porcentuales a Asignar a la proposición “j” por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PSPMB</w:t>
      </w:r>
      <w:r w:rsidRPr="004E2A04">
        <w:rPr>
          <w:sz w:val="20"/>
          <w:szCs w:val="20"/>
        </w:rPr>
        <w:t xml:space="preserve"> = Proposición Solvente cuyo Precio es el Más 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PPj</w:t>
      </w:r>
      <w:r w:rsidRPr="004E2A04">
        <w:rPr>
          <w:sz w:val="20"/>
          <w:szCs w:val="20"/>
        </w:rPr>
        <w:t xml:space="preserve"> = Precio de </w:t>
      </w:r>
      <w:smartTag w:uri="urn:schemas-microsoft-com:office:smarttags" w:element="PersonName">
        <w:smartTagPr>
          <w:attr w:name="ProductID" w:val="LA PROPOSICIￓN"/>
        </w:smartTagPr>
        <w:r w:rsidRPr="004E2A04">
          <w:rPr>
            <w:sz w:val="20"/>
            <w:szCs w:val="20"/>
          </w:rPr>
          <w:t>la Proposición</w:t>
        </w:r>
      </w:smartTag>
      <w:r w:rsidRPr="004E2A04">
        <w:rPr>
          <w:sz w:val="20"/>
          <w:szCs w:val="20"/>
        </w:rPr>
        <w:t xml:space="preserve"> “j”,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1080" w:firstLine="0"/>
        <w:rPr>
          <w:sz w:val="20"/>
          <w:szCs w:val="20"/>
          <w:lang w:val="es-ES"/>
        </w:rPr>
      </w:pPr>
      <w:r w:rsidRPr="004E2A04">
        <w:rPr>
          <w:sz w:val="20"/>
          <w:szCs w:val="20"/>
        </w:rPr>
        <w:t>El subíndice “j” representa a las demás proposiciones determinadas como solventes como resultado de la evaluación,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tabs>
          <w:tab w:val="left" w:pos="284"/>
        </w:tabs>
        <w:spacing w:after="0" w:line="240" w:lineRule="auto"/>
        <w:ind w:left="284" w:hanging="284"/>
        <w:rPr>
          <w:b/>
          <w:sz w:val="20"/>
          <w:szCs w:val="20"/>
        </w:rPr>
      </w:pPr>
      <w:r w:rsidRPr="004E2A04">
        <w:rPr>
          <w:b/>
          <w:sz w:val="20"/>
          <w:szCs w:val="20"/>
        </w:rPr>
        <w:t>III.</w:t>
      </w:r>
      <w:r w:rsidRPr="004E2A04">
        <w:rPr>
          <w:b/>
          <w:sz w:val="20"/>
          <w:szCs w:val="20"/>
        </w:rPr>
        <w:tab/>
        <w:t xml:space="preserve">Para calcular el </w:t>
      </w:r>
      <w:r w:rsidRPr="004E2A04">
        <w:rPr>
          <w:b/>
          <w:sz w:val="20"/>
          <w:szCs w:val="20"/>
          <w:lang w:val="es-ES_tradnl"/>
        </w:rPr>
        <w:t>resultado</w:t>
      </w:r>
      <w:r w:rsidRPr="004E2A04">
        <w:rPr>
          <w:b/>
          <w:sz w:val="20"/>
          <w:szCs w:val="20"/>
        </w:rPr>
        <w:t xml:space="preserve"> final de la puntuación o unidades porcentuales que obtuvo cada proposición, se aplicará la siguiente fórmula: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0" w:firstLine="360"/>
        <w:jc w:val="center"/>
        <w:rPr>
          <w:b/>
          <w:sz w:val="20"/>
          <w:szCs w:val="20"/>
          <w:lang w:val="pt-BR"/>
        </w:rPr>
      </w:pPr>
      <w:r w:rsidRPr="004E2A04">
        <w:rPr>
          <w:b/>
          <w:sz w:val="20"/>
          <w:szCs w:val="20"/>
          <w:lang w:val="pt-BR"/>
        </w:rPr>
        <w:t>PTj = TPT + TPE      Para toda j = 1, 2,…..,n</w:t>
      </w:r>
    </w:p>
    <w:p w:rsidR="00963B33" w:rsidRPr="004E2A04" w:rsidRDefault="00963B33" w:rsidP="00963B33">
      <w:pPr>
        <w:pStyle w:val="texto"/>
        <w:spacing w:after="0" w:line="240" w:lineRule="auto"/>
        <w:ind w:firstLine="360"/>
        <w:jc w:val="center"/>
        <w:rPr>
          <w:i w:val="0"/>
          <w:sz w:val="20"/>
          <w:lang w:val="pt-BR"/>
        </w:rPr>
      </w:pPr>
    </w:p>
    <w:p w:rsidR="00963B33" w:rsidRPr="004E2A04" w:rsidRDefault="00963B33" w:rsidP="00963B33">
      <w:pPr>
        <w:pStyle w:val="inciso0"/>
        <w:spacing w:after="0" w:line="240" w:lineRule="auto"/>
        <w:ind w:left="284" w:firstLine="0"/>
        <w:rPr>
          <w:b/>
          <w:sz w:val="20"/>
          <w:szCs w:val="20"/>
        </w:rPr>
      </w:pPr>
      <w:r w:rsidRPr="004E2A04">
        <w:rPr>
          <w:b/>
          <w:sz w:val="20"/>
          <w:szCs w:val="20"/>
          <w:lang w:val="es-ES_tradnl"/>
        </w:rPr>
        <w:t>Dónde</w:t>
      </w:r>
      <w:r w:rsidRPr="004E2A04">
        <w:rPr>
          <w:b/>
          <w:sz w:val="20"/>
          <w:szCs w:val="20"/>
        </w:rPr>
        <w:t>:</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PTj</w:t>
      </w:r>
      <w:r w:rsidRPr="004E2A04">
        <w:rPr>
          <w:sz w:val="20"/>
          <w:szCs w:val="20"/>
        </w:rPr>
        <w:t xml:space="preserve"> = Puntuación o unidades porcentuales </w:t>
      </w:r>
      <w:r w:rsidRPr="004E2A04">
        <w:rPr>
          <w:sz w:val="20"/>
          <w:szCs w:val="20"/>
          <w:lang w:val="es-ES_tradnl"/>
        </w:rPr>
        <w:t>Totales</w:t>
      </w:r>
      <w:r w:rsidRPr="004E2A04">
        <w:rPr>
          <w:sz w:val="20"/>
          <w:szCs w:val="20"/>
        </w:rPr>
        <w:t xml:space="preserve"> de la proposición;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TPT</w:t>
      </w:r>
      <w:r w:rsidRPr="004E2A04">
        <w:rPr>
          <w:sz w:val="20"/>
          <w:szCs w:val="20"/>
        </w:rPr>
        <w:t xml:space="preserve"> = Total de </w:t>
      </w:r>
      <w:r w:rsidRPr="004E2A04">
        <w:rPr>
          <w:sz w:val="20"/>
          <w:szCs w:val="20"/>
          <w:lang w:val="es-ES_tradnl"/>
        </w:rPr>
        <w:t>Puntuación</w:t>
      </w:r>
      <w:r w:rsidRPr="004E2A04">
        <w:rPr>
          <w:sz w:val="20"/>
          <w:szCs w:val="20"/>
        </w:rPr>
        <w:t xml:space="preserve"> o unidades porcentuales asignadas a la propuesta Técnica;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TPE</w:t>
      </w:r>
      <w:r w:rsidRPr="004E2A04">
        <w:rPr>
          <w:sz w:val="20"/>
          <w:szCs w:val="20"/>
        </w:rPr>
        <w:t xml:space="preserve"> = Total de Puntuación o unidades porcentuales asignadas a la propuesta Económica,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lang w:val="es-ES"/>
        </w:rPr>
      </w:pPr>
      <w:r w:rsidRPr="004E2A04">
        <w:rPr>
          <w:sz w:val="20"/>
          <w:szCs w:val="20"/>
        </w:rPr>
        <w:t xml:space="preserve">El subíndice </w:t>
      </w:r>
      <w:r w:rsidRPr="004E2A04">
        <w:rPr>
          <w:b/>
          <w:sz w:val="20"/>
          <w:szCs w:val="20"/>
        </w:rPr>
        <w:t>“j”</w:t>
      </w:r>
      <w:r w:rsidRPr="004E2A04">
        <w:rPr>
          <w:sz w:val="20"/>
          <w:szCs w:val="20"/>
        </w:rPr>
        <w:t xml:space="preserve"> representa a las demás proposiciones determinadas como solventes como resultado de la evaluación, y</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284" w:hanging="284"/>
        <w:rPr>
          <w:sz w:val="20"/>
          <w:szCs w:val="20"/>
        </w:rPr>
      </w:pPr>
      <w:r w:rsidRPr="004E2A04">
        <w:rPr>
          <w:b/>
          <w:sz w:val="20"/>
          <w:szCs w:val="20"/>
        </w:rPr>
        <w:t>IV.</w:t>
      </w:r>
      <w:r w:rsidRPr="004E2A04">
        <w:rPr>
          <w:b/>
          <w:sz w:val="20"/>
          <w:szCs w:val="20"/>
        </w:rPr>
        <w:tab/>
      </w:r>
      <w:r w:rsidRPr="00756273">
        <w:rPr>
          <w:sz w:val="20"/>
          <w:szCs w:val="20"/>
        </w:rPr>
        <w:t xml:space="preserve">La proposición solvente más conveniente para </w:t>
      </w:r>
      <w:r>
        <w:rPr>
          <w:sz w:val="20"/>
          <w:szCs w:val="20"/>
        </w:rPr>
        <w:t>la ejecución de la obra</w:t>
      </w:r>
      <w:r w:rsidRPr="004E2A04">
        <w:rPr>
          <w:sz w:val="20"/>
          <w:szCs w:val="20"/>
        </w:rPr>
        <w:t xml:space="preserve">, será aquélla que reúna la mayor puntuación o unidades porcentuales conforme a lo </w:t>
      </w:r>
      <w:r w:rsidRPr="004E2A04">
        <w:rPr>
          <w:sz w:val="20"/>
          <w:szCs w:val="20"/>
          <w:lang w:val="es-ES_tradnl"/>
        </w:rPr>
        <w:t>dispuesto</w:t>
      </w:r>
      <w:r w:rsidRPr="004E2A04">
        <w:rPr>
          <w:sz w:val="20"/>
          <w:szCs w:val="20"/>
        </w:rPr>
        <w:t xml:space="preserve"> en el numeral sexto de los “LINEAMIENTOS PARA </w:t>
      </w:r>
      <w:smartTag w:uri="urn:schemas-microsoft-com:office:smarttags" w:element="PersonName">
        <w:smartTagPr>
          <w:attr w:name="ProductID" w:val="LA APLICACIￓN DEL"/>
        </w:smartTagPr>
        <w:r w:rsidRPr="004E2A04">
          <w:rPr>
            <w:sz w:val="20"/>
            <w:szCs w:val="20"/>
          </w:rPr>
          <w:t>LA APLICACIÓN DEL</w:t>
        </w:r>
      </w:smartTag>
      <w:r w:rsidRPr="004E2A04">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4E2A04">
          <w:rPr>
            <w:sz w:val="20"/>
            <w:szCs w:val="20"/>
          </w:rPr>
          <w:t>la Federación</w:t>
        </w:r>
      </w:smartTag>
      <w:r w:rsidRPr="004E2A04">
        <w:rPr>
          <w:sz w:val="20"/>
          <w:szCs w:val="20"/>
        </w:rPr>
        <w:t xml:space="preserve"> del 9 de septiembre de 2010.</w:t>
      </w:r>
    </w:p>
    <w:p w:rsidR="00963B33" w:rsidRDefault="00963B33" w:rsidP="00963B33">
      <w:pPr>
        <w:jc w:val="both"/>
        <w:rPr>
          <w:rFonts w:cs="Arial"/>
          <w:i w:val="0"/>
        </w:rPr>
      </w:pPr>
    </w:p>
    <w:p w:rsidR="00FC58B3" w:rsidRPr="004E2A04" w:rsidRDefault="00FC58B3" w:rsidP="00963B33">
      <w:pPr>
        <w:jc w:val="both"/>
        <w:rPr>
          <w:rFonts w:cs="Arial"/>
          <w:i w:val="0"/>
        </w:rPr>
      </w:pPr>
    </w:p>
    <w:p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t xml:space="preserve">CRITERIOS PARA </w:t>
      </w:r>
      <w:smartTag w:uri="urn:schemas-microsoft-com:office:smarttags" w:element="PersonName">
        <w:smartTagPr>
          <w:attr w:name="ProductID" w:val="LA ADJUDICACIￓN DEL"/>
        </w:smartTagPr>
        <w:r w:rsidRPr="004E2A04">
          <w:rPr>
            <w:rFonts w:cs="Arial"/>
            <w:b/>
            <w:i w:val="0"/>
          </w:rPr>
          <w:t>LA ADJUDICACIÓN DEL</w:t>
        </w:r>
      </w:smartTag>
      <w:r w:rsidRPr="004E2A04">
        <w:rPr>
          <w:rFonts w:cs="Arial"/>
          <w:b/>
          <w:i w:val="0"/>
        </w:rPr>
        <w:t xml:space="preserve"> CONTRATO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FC58B3" w:rsidRDefault="00FC58B3" w:rsidP="00963B33">
      <w:pPr>
        <w:jc w:val="both"/>
        <w:rPr>
          <w:rFonts w:cs="Arial"/>
          <w:i w:val="0"/>
          <w:color w:val="000000"/>
        </w:rPr>
      </w:pPr>
    </w:p>
    <w:p w:rsidR="00963B33" w:rsidRPr="004E2A04" w:rsidRDefault="00963B33" w:rsidP="00963B33">
      <w:pPr>
        <w:jc w:val="both"/>
        <w:rPr>
          <w:rFonts w:cs="Arial"/>
          <w:b/>
          <w:i w:val="0"/>
          <w:color w:val="000000"/>
        </w:rPr>
      </w:pPr>
      <w:r w:rsidRPr="004E2A04">
        <w:rPr>
          <w:rFonts w:cs="Arial"/>
          <w:i w:val="0"/>
          <w:color w:val="000000"/>
        </w:rPr>
        <w:t xml:space="preserve">Una vez hecha la evaluación de las proposiciones y de conformidad con lo dispuesto por el artículo 67, fracción II, del Reglamento de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w:t>
      </w:r>
      <w:r>
        <w:rPr>
          <w:rFonts w:cs="Arial"/>
          <w:i w:val="0"/>
          <w:color w:val="000000"/>
        </w:rPr>
        <w:t xml:space="preserve">requeridas por la </w:t>
      </w:r>
      <w:r w:rsidR="00BA3A0A">
        <w:rPr>
          <w:rFonts w:cs="Arial"/>
          <w:i w:val="0"/>
          <w:color w:val="000000"/>
        </w:rPr>
        <w:t>Convocante</w:t>
      </w:r>
      <w:r w:rsidRPr="004E2A04">
        <w:rPr>
          <w:rFonts w:cs="Arial"/>
          <w:i w:val="0"/>
          <w:color w:val="000000"/>
        </w:rPr>
        <w:t>, que haya obtenido el mayor puntaje o porcentaje y garantice satisfactoriamente el cumplimiento de las obligaciones respectivas.</w:t>
      </w:r>
    </w:p>
    <w:p w:rsidR="00963B33" w:rsidRPr="004E2A04" w:rsidRDefault="00963B33" w:rsidP="00963B33">
      <w:pPr>
        <w:jc w:val="both"/>
        <w:rPr>
          <w:rFonts w:cs="Arial"/>
          <w:i w:val="0"/>
        </w:rPr>
      </w:pPr>
    </w:p>
    <w:p w:rsidR="00FC58B3" w:rsidRDefault="00FC58B3" w:rsidP="00963B33">
      <w:pPr>
        <w:jc w:val="both"/>
        <w:rPr>
          <w:rFonts w:cs="Arial"/>
          <w:i w:val="0"/>
        </w:rPr>
      </w:pPr>
    </w:p>
    <w:p w:rsidR="00963B33" w:rsidRPr="004E2A04" w:rsidRDefault="00963B33" w:rsidP="00963B33">
      <w:pPr>
        <w:jc w:val="both"/>
        <w:rPr>
          <w:rFonts w:cs="Arial"/>
          <w:b/>
          <w:i w:val="0"/>
          <w:lang w:eastAsia="es-ES"/>
        </w:rPr>
      </w:pPr>
      <w:r w:rsidRPr="004E2A04">
        <w:rPr>
          <w:rFonts w:cs="Arial"/>
          <w:i w:val="0"/>
        </w:rPr>
        <w:lastRenderedPageBreak/>
        <w:t xml:space="preserve">Si resultare que dos o más proposiciones son solventes porque satisfacen la totalidad de los requerimientos </w:t>
      </w:r>
      <w:r>
        <w:rPr>
          <w:rFonts w:cs="Arial"/>
          <w:i w:val="0"/>
        </w:rPr>
        <w:t xml:space="preserve">solicitados por la </w:t>
      </w:r>
      <w:r w:rsidR="00BA3A0A">
        <w:rPr>
          <w:rFonts w:cs="Arial"/>
          <w:i w:val="0"/>
        </w:rPr>
        <w:t>Convocante</w:t>
      </w:r>
      <w:r w:rsidRPr="004E2A04">
        <w:rPr>
          <w:rFonts w:cs="Arial"/>
          <w:i w:val="0"/>
        </w:rPr>
        <w:t xml:space="preserve"> y obtuvieren el mismos puntaje </w:t>
      </w:r>
      <w:r w:rsidRPr="004E2A04">
        <w:rPr>
          <w:i w:val="0"/>
        </w:rPr>
        <w:t xml:space="preserve"> o unidades porcentuales</w:t>
      </w:r>
      <w:r w:rsidRPr="004E2A04">
        <w:rPr>
          <w:rFonts w:cs="Arial"/>
          <w:i w:val="0"/>
        </w:rPr>
        <w:t xml:space="preserve">, el contrato se adjudicará a quién presente la proposición </w:t>
      </w:r>
      <w:r w:rsidRPr="004E2A04">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rsidR="00963B33" w:rsidRPr="004E2A04" w:rsidRDefault="00963B33" w:rsidP="00963B33">
      <w:pPr>
        <w:jc w:val="both"/>
        <w:rPr>
          <w:rFonts w:cs="Arial"/>
          <w:i w:val="0"/>
        </w:rPr>
      </w:pPr>
    </w:p>
    <w:p w:rsidR="00963B33" w:rsidRPr="004E2A04" w:rsidRDefault="00963B33" w:rsidP="00963B33">
      <w:pPr>
        <w:pStyle w:val="Texto0"/>
        <w:spacing w:after="0" w:line="240" w:lineRule="auto"/>
        <w:ind w:firstLine="0"/>
        <w:rPr>
          <w:b/>
          <w:i w:val="0"/>
          <w:sz w:val="20"/>
          <w:szCs w:val="20"/>
        </w:rPr>
      </w:pPr>
      <w:r w:rsidRPr="004E2A04">
        <w:rPr>
          <w:i w:val="0"/>
          <w:sz w:val="20"/>
          <w:szCs w:val="20"/>
        </w:rPr>
        <w:t>Si no fuere factible resolver el empate en los términos del citado artículo, la adjudicación del contrato se efectuará en favor del licitante que resulte ganador del sorteo manual por insaculaci</w:t>
      </w:r>
      <w:r>
        <w:rPr>
          <w:i w:val="0"/>
          <w:sz w:val="20"/>
          <w:szCs w:val="20"/>
        </w:rPr>
        <w:t xml:space="preserve">ón que realice la </w:t>
      </w:r>
      <w:r w:rsidR="00BA3A0A">
        <w:rPr>
          <w:i w:val="0"/>
          <w:sz w:val="20"/>
          <w:szCs w:val="20"/>
        </w:rPr>
        <w:t>Convocante</w:t>
      </w:r>
      <w:r w:rsidRPr="004E2A04">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el artículo 67, segundo párrafo, del Reglamento de la Ley</w:t>
      </w:r>
      <w:r w:rsidR="00BA3A0A">
        <w:rPr>
          <w:i w:val="0"/>
          <w:sz w:val="20"/>
          <w:szCs w:val="20"/>
        </w:rPr>
        <w:t>.</w:t>
      </w:r>
    </w:p>
    <w:p w:rsidR="00963B33" w:rsidRPr="004E2A04" w:rsidRDefault="00963B33" w:rsidP="00963B33">
      <w:pPr>
        <w:pStyle w:val="Texto0"/>
        <w:spacing w:after="0" w:line="240" w:lineRule="auto"/>
        <w:ind w:firstLine="0"/>
        <w:rPr>
          <w:i w:val="0"/>
          <w:sz w:val="20"/>
          <w:szCs w:val="20"/>
        </w:rPr>
      </w:pPr>
    </w:p>
    <w:p w:rsidR="00BA3A0A" w:rsidRPr="004E2A04" w:rsidRDefault="00963B33" w:rsidP="00BA3A0A">
      <w:pPr>
        <w:pStyle w:val="Texto0"/>
        <w:spacing w:after="0" w:line="240" w:lineRule="auto"/>
        <w:ind w:firstLine="0"/>
        <w:rPr>
          <w:i w:val="0"/>
          <w:sz w:val="20"/>
          <w:szCs w:val="20"/>
        </w:rPr>
      </w:pPr>
      <w:r w:rsidRPr="004E2A04">
        <w:rPr>
          <w:i w:val="0"/>
          <w:sz w:val="20"/>
          <w:szCs w:val="20"/>
        </w:rPr>
        <w:t>Las proposiciones desechadas en este procedimiento de contratación,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w:t>
      </w:r>
      <w:r>
        <w:rPr>
          <w:i w:val="0"/>
          <w:sz w:val="20"/>
          <w:szCs w:val="20"/>
        </w:rPr>
        <w:t xml:space="preserve">ichos términos la </w:t>
      </w:r>
      <w:r w:rsidR="00BA3A0A">
        <w:rPr>
          <w:i w:val="0"/>
          <w:sz w:val="20"/>
          <w:szCs w:val="20"/>
        </w:rPr>
        <w:t>Convocante</w:t>
      </w:r>
      <w:r w:rsidRPr="004E2A04">
        <w:rPr>
          <w:i w:val="0"/>
          <w:sz w:val="20"/>
          <w:szCs w:val="20"/>
        </w:rPr>
        <w:t xml:space="preserve"> podrá proceder a su devolución o destrucción, de conformidad con lo dispuesto en el último párrafo del artículo 74 de la Ley</w:t>
      </w:r>
      <w:r w:rsidR="00BA3A0A">
        <w:rPr>
          <w:i w:val="0"/>
          <w:sz w:val="20"/>
          <w:szCs w:val="20"/>
        </w:rPr>
        <w:t>.</w:t>
      </w:r>
    </w:p>
    <w:p w:rsidR="00963B33" w:rsidRPr="004E2A04" w:rsidRDefault="00963B33" w:rsidP="00963B33">
      <w:pPr>
        <w:pStyle w:val="Texto0"/>
        <w:spacing w:after="0" w:line="240" w:lineRule="auto"/>
        <w:ind w:firstLine="0"/>
        <w:rPr>
          <w:b/>
          <w:i w:val="0"/>
          <w:sz w:val="20"/>
          <w:szCs w:val="2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lastRenderedPageBreak/>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rsidR="00283730" w:rsidRDefault="00283730" w:rsidP="004C1BDC">
      <w:pPr>
        <w:jc w:val="both"/>
        <w:rPr>
          <w:rFonts w:cs="Arial"/>
          <w:i w:val="0"/>
          <w:highlight w:val="yellow"/>
        </w:rPr>
      </w:pPr>
    </w:p>
    <w:p w:rsidR="00283730" w:rsidRPr="00903C7B" w:rsidRDefault="00283730" w:rsidP="004C1BDC">
      <w:pPr>
        <w:jc w:val="both"/>
        <w:rPr>
          <w:i w:val="0"/>
        </w:rPr>
      </w:pPr>
      <w:r w:rsidRPr="003A3DB0">
        <w:rPr>
          <w:i w:val="0"/>
        </w:rPr>
        <w:lastRenderedPageBreak/>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w:t>
      </w:r>
      <w:r w:rsidRPr="00903C7B">
        <w:rPr>
          <w:i w:val="0"/>
        </w:rPr>
        <w:lastRenderedPageBreak/>
        <w:t xml:space="preserve">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rsidR="00FC58B3" w:rsidRPr="00246369" w:rsidRDefault="00FC58B3" w:rsidP="004C1BDC">
      <w:pPr>
        <w:jc w:val="both"/>
        <w:rPr>
          <w:rFonts w:cs="Arial"/>
          <w:i w:val="0"/>
        </w:rPr>
      </w:pP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lastRenderedPageBreak/>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rsidR="00283730" w:rsidRPr="00883C81" w:rsidRDefault="00283730" w:rsidP="004C1BDC">
      <w:pPr>
        <w:jc w:val="both"/>
        <w:rPr>
          <w:rFonts w:cs="Arial"/>
          <w:i w:val="0"/>
        </w:rPr>
      </w:pPr>
    </w:p>
    <w:p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rsidR="00283730" w:rsidRPr="00883C81" w:rsidRDefault="00283730" w:rsidP="004C1BDC">
      <w:pPr>
        <w:jc w:val="both"/>
        <w:rPr>
          <w:rFonts w:cs="Arial"/>
          <w:i w:val="0"/>
          <w:highlight w:val="yellow"/>
        </w:rPr>
      </w:pPr>
    </w:p>
    <w:p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w:t>
      </w:r>
      <w:r w:rsidRPr="00883C81">
        <w:rPr>
          <w:rFonts w:cs="Arial"/>
          <w:i w:val="0"/>
        </w:rPr>
        <w:lastRenderedPageBreak/>
        <w:t xml:space="preserve">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B97454">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t>Cuando se celebren convenios</w:t>
      </w:r>
      <w:bookmarkStart w:id="0" w:name="_GoBack"/>
      <w:bookmarkEnd w:id="0"/>
      <w:r w:rsidRPr="00B00859">
        <w:rPr>
          <w:i w:val="0"/>
          <w:sz w:val="20"/>
          <w:szCs w:val="20"/>
        </w:rPr>
        <w:t xml:space="preserve">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B97454">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lastRenderedPageBreak/>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lastRenderedPageBreak/>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FC58B3" w:rsidRDefault="00FC58B3"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rsidR="00283730" w:rsidRDefault="00283730" w:rsidP="004C1BDC">
      <w:pPr>
        <w:pStyle w:val="Textoindependiente21"/>
        <w:ind w:left="0"/>
        <w:rPr>
          <w:rFonts w:cs="Arial"/>
          <w:bCs/>
          <w:i w:val="0"/>
          <w:lang w:val="es-MX"/>
        </w:rPr>
      </w:pPr>
    </w:p>
    <w:p w:rsidR="00FC58B3" w:rsidRPr="001F3711" w:rsidRDefault="00FC58B3"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rsidR="00283730" w:rsidRDefault="00283730" w:rsidP="004C1BDC">
      <w:pPr>
        <w:widowControl w:val="0"/>
        <w:jc w:val="both"/>
        <w:rPr>
          <w:i w:val="0"/>
        </w:rPr>
      </w:pPr>
    </w:p>
    <w:p w:rsidR="00FC58B3" w:rsidRDefault="00FC58B3"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lastRenderedPageBreak/>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rsidR="00FC58B3" w:rsidRDefault="00FC58B3" w:rsidP="004C1BDC">
      <w:pPr>
        <w:pStyle w:val="Textoindependiente21"/>
        <w:ind w:left="0"/>
        <w:rPr>
          <w:rFonts w:cs="Arial"/>
          <w:i w:val="0"/>
        </w:rPr>
      </w:pP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lastRenderedPageBreak/>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Copilco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Default="00283730" w:rsidP="004C1BDC">
      <w:pPr>
        <w:tabs>
          <w:tab w:val="left" w:pos="9356"/>
        </w:tabs>
        <w:jc w:val="both"/>
        <w:rPr>
          <w:rFonts w:cs="Arial"/>
          <w:bCs/>
          <w:i w:val="0"/>
        </w:rPr>
      </w:pPr>
    </w:p>
    <w:p w:rsidR="00283730" w:rsidRDefault="00283730" w:rsidP="004C1BDC">
      <w:pPr>
        <w:jc w:val="both"/>
        <w:rPr>
          <w:i w:val="0"/>
          <w:lang w:val="es-ES"/>
        </w:rPr>
      </w:pPr>
      <w:r>
        <w:rPr>
          <w:i w:val="0"/>
          <w:lang w:val="es-ES"/>
        </w:rPr>
        <w:t>Transcurridos los términos correspondientes a cada uno de los actos a que se refiere el artículo 83 de la Ley, se tendrá por precluido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rsidR="00FC58B3" w:rsidRPr="000D77C7" w:rsidRDefault="00FC58B3" w:rsidP="00FC58B3">
      <w:pPr>
        <w:jc w:val="center"/>
        <w:rPr>
          <w:rFonts w:ascii="Helvetica" w:hAnsi="Helvetica" w:cs="Arial"/>
          <w:color w:val="222222"/>
          <w:shd w:val="clear" w:color="auto" w:fill="FFFFFF"/>
        </w:rPr>
      </w:pPr>
      <w:r w:rsidRPr="000D77C7">
        <w:rPr>
          <w:rFonts w:ascii="Helvetica" w:hAnsi="Helvetica" w:cs="Arial"/>
          <w:color w:val="222222"/>
          <w:shd w:val="clear" w:color="auto" w:fill="FFFFFF"/>
        </w:rPr>
        <w:lastRenderedPageBreak/>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rsidR="00FC58B3" w:rsidRPr="000D77C7" w:rsidRDefault="00FC58B3" w:rsidP="00FC58B3">
      <w:pPr>
        <w:jc w:val="center"/>
        <w:rPr>
          <w:rFonts w:ascii="Helvetica" w:hAnsi="Helvetica"/>
        </w:rPr>
      </w:pPr>
      <w:r w:rsidRPr="000D77C7">
        <w:rPr>
          <w:rFonts w:ascii="Helvetica" w:hAnsi="Helvetica" w:cs="Arial"/>
          <w:color w:val="222222"/>
          <w:shd w:val="clear" w:color="auto" w:fill="FFFFFF"/>
        </w:rPr>
        <w:t xml:space="preserve"> para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rsidR="00283730" w:rsidRPr="00FC58B3" w:rsidRDefault="00283730" w:rsidP="00450E78">
      <w:pPr>
        <w:rPr>
          <w:i w:val="0"/>
        </w:rPr>
      </w:pPr>
    </w:p>
    <w:p w:rsidR="00FC58B3" w:rsidRPr="00FC58B3" w:rsidRDefault="00FC58B3" w:rsidP="00FC58B3">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rsidR="00FC58B3" w:rsidRDefault="00FC58B3" w:rsidP="00FC58B3">
      <w:pPr>
        <w:keepLines/>
        <w:jc w:val="center"/>
        <w:rPr>
          <w:rFonts w:ascii="Times New Roman" w:hAnsi="Times New Roman"/>
          <w:b/>
          <w:sz w:val="21"/>
          <w:szCs w:val="21"/>
        </w:rPr>
      </w:pPr>
    </w:p>
    <w:p w:rsidR="00FC58B3" w:rsidRDefault="00FC58B3" w:rsidP="00FC58B3">
      <w:pPr>
        <w:keepLines/>
        <w:jc w:val="center"/>
        <w:rPr>
          <w:rFonts w:ascii="Times New Roman" w:hAnsi="Times New Roman"/>
          <w:b/>
          <w:sz w:val="21"/>
          <w:szCs w:val="21"/>
        </w:rPr>
      </w:pPr>
    </w:p>
    <w:p w:rsidR="00FC58B3" w:rsidRPr="002C6B37" w:rsidRDefault="00FC58B3" w:rsidP="00FC58B3">
      <w:pPr>
        <w:keepLines/>
        <w:tabs>
          <w:tab w:val="left" w:pos="5387"/>
        </w:tabs>
        <w:rPr>
          <w:rFonts w:ascii="Times New Roman" w:hAnsi="Times New Roman"/>
          <w:b/>
          <w:sz w:val="10"/>
          <w:szCs w:val="10"/>
        </w:rPr>
      </w:pPr>
      <w:r w:rsidRPr="00AA1D8F">
        <w:rPr>
          <w:rFonts w:ascii="Times New Roman" w:hAnsi="Times New Roman"/>
          <w:b/>
          <w:sz w:val="22"/>
        </w:rPr>
        <w:tab/>
      </w:r>
    </w:p>
    <w:p w:rsidR="00FC58B3" w:rsidRDefault="00FC58B3" w:rsidP="00FC58B3">
      <w:pPr>
        <w:keepLines/>
        <w:tabs>
          <w:tab w:val="left" w:pos="5812"/>
        </w:tabs>
        <w:rPr>
          <w:rFonts w:ascii="Times New Roman" w:hAnsi="Times New Roman"/>
          <w:b/>
          <w:sz w:val="22"/>
        </w:rPr>
      </w:pPr>
      <w:r w:rsidRPr="00AA1D8F">
        <w:rPr>
          <w:rFonts w:ascii="Times New Roman" w:hAnsi="Times New Roman"/>
          <w:b/>
          <w:sz w:val="22"/>
        </w:rPr>
        <w:tab/>
        <w:t xml:space="preserve">Vo. Bo. DEL </w:t>
      </w:r>
      <w:r>
        <w:rPr>
          <w:rFonts w:ascii="Times New Roman" w:hAnsi="Times New Roman"/>
          <w:b/>
          <w:sz w:val="22"/>
        </w:rPr>
        <w:t>LICITANTE</w:t>
      </w:r>
    </w:p>
    <w:p w:rsidR="00FC58B3" w:rsidRDefault="00FC58B3" w:rsidP="00FC58B3">
      <w:pPr>
        <w:keepLines/>
        <w:tabs>
          <w:tab w:val="left" w:pos="5812"/>
        </w:tabs>
        <w:rPr>
          <w:rFonts w:ascii="Times New Roman" w:hAnsi="Times New Roman"/>
          <w:b/>
          <w:sz w:val="22"/>
        </w:rPr>
      </w:pPr>
    </w:p>
    <w:p w:rsidR="00FC58B3" w:rsidRDefault="00FC58B3" w:rsidP="00FC58B3">
      <w:pPr>
        <w:keepLines/>
        <w:tabs>
          <w:tab w:val="left" w:pos="5812"/>
        </w:tabs>
        <w:rPr>
          <w:rFonts w:ascii="Times New Roman" w:hAnsi="Times New Roman"/>
          <w:b/>
          <w:sz w:val="22"/>
        </w:rPr>
      </w:pPr>
    </w:p>
    <w:p w:rsidR="00FC58B3" w:rsidRDefault="00FC58B3" w:rsidP="00FC58B3">
      <w:pPr>
        <w:keepLines/>
        <w:tabs>
          <w:tab w:val="left" w:pos="5812"/>
        </w:tabs>
        <w:rPr>
          <w:rFonts w:ascii="Times New Roman" w:hAnsi="Times New Roman"/>
          <w:b/>
          <w:sz w:val="22"/>
        </w:rPr>
      </w:pPr>
    </w:p>
    <w:p w:rsidR="00FC58B3" w:rsidRPr="00AA1D8F" w:rsidRDefault="00FC58B3" w:rsidP="00FC58B3">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rsidR="00FC58B3" w:rsidRDefault="00FC58B3" w:rsidP="00FC58B3">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rsidR="00BA3A0A" w:rsidRPr="00FC58B3" w:rsidRDefault="00BA3A0A" w:rsidP="00450E78">
      <w:pPr>
        <w:rPr>
          <w:i w:val="0"/>
        </w:rPr>
      </w:pPr>
    </w:p>
    <w:sectPr w:rsidR="00BA3A0A" w:rsidRPr="00FC58B3"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1F" w:rsidRDefault="00F1701F" w:rsidP="00D25FDD">
      <w:r>
        <w:separator/>
      </w:r>
    </w:p>
  </w:endnote>
  <w:endnote w:type="continuationSeparator" w:id="0">
    <w:p w:rsidR="00F1701F" w:rsidRDefault="00F1701F"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8153CD" w:rsidRDefault="008153CD">
    <w:pPr>
      <w:ind w:right="360"/>
      <w:jc w:val="right"/>
      <w:rPr>
        <w:rStyle w:val="Nmerodepgina"/>
      </w:rPr>
    </w:pPr>
  </w:p>
  <w:p w:rsidR="008153CD" w:rsidRDefault="008153C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9C" w:rsidRPr="007036FB" w:rsidRDefault="008D0F9C" w:rsidP="008D0F9C">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B97454">
      <w:rPr>
        <w:rStyle w:val="Nmerodepgina"/>
        <w:rFonts w:ascii="Helvetica" w:hAnsi="Helvetica"/>
        <w:noProof/>
        <w:sz w:val="16"/>
        <w:szCs w:val="16"/>
      </w:rPr>
      <w:t>- 44 -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B97454">
      <w:rPr>
        <w:rStyle w:val="Nmerodepgina"/>
        <w:rFonts w:ascii="Helvetica" w:hAnsi="Helvetica"/>
        <w:noProof/>
        <w:sz w:val="16"/>
        <w:szCs w:val="16"/>
      </w:rPr>
      <w:t>48</w:t>
    </w:r>
    <w:r w:rsidRPr="004B47D2">
      <w:rPr>
        <w:rStyle w:val="Nmerodepgina"/>
        <w:rFonts w:ascii="Helvetica" w:hAnsi="Helvetica"/>
        <w:sz w:val="16"/>
        <w:szCs w:val="16"/>
      </w:rPr>
      <w:fldChar w:fldCharType="end"/>
    </w:r>
  </w:p>
  <w:p w:rsidR="008153CD" w:rsidRPr="008D0F9C" w:rsidRDefault="008153CD" w:rsidP="008D0F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53CD" w:rsidRDefault="008153CD">
    <w:pPr>
      <w:ind w:right="360"/>
      <w:jc w:val="right"/>
      <w:rPr>
        <w:rStyle w:val="Nmerodepgina"/>
      </w:rPr>
    </w:pPr>
  </w:p>
  <w:p w:rsidR="008153CD" w:rsidRDefault="008153C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Pr="001F5AB0" w:rsidRDefault="008153CD"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FC58B3">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B97454">
      <w:rPr>
        <w:rStyle w:val="Nmerodepgina"/>
        <w:rFonts w:cs="Arial"/>
        <w:b/>
        <w:i w:val="0"/>
        <w:noProof/>
      </w:rPr>
      <w:t>48</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1F" w:rsidRDefault="00F1701F" w:rsidP="00D25FDD">
      <w:r>
        <w:separator/>
      </w:r>
    </w:p>
  </w:footnote>
  <w:footnote w:type="continuationSeparator" w:id="0">
    <w:p w:rsidR="00F1701F" w:rsidRDefault="00F1701F"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8153CD" w:rsidTr="004C1BDC">
      <w:trPr>
        <w:cantSplit/>
        <w:trHeight w:val="1151"/>
      </w:trPr>
      <w:tc>
        <w:tcPr>
          <w:tcW w:w="9900" w:type="dxa"/>
        </w:tcPr>
        <w:p w:rsidR="008153CD" w:rsidRDefault="008153CD" w:rsidP="0014243F">
          <w:pPr>
            <w:jc w:val="center"/>
            <w:rPr>
              <w:b/>
              <w:i w:val="0"/>
              <w:sz w:val="16"/>
              <w:szCs w:val="16"/>
              <w:lang w:val="es-ES_tradnl"/>
            </w:rPr>
          </w:pPr>
        </w:p>
        <w:p w:rsidR="008153CD" w:rsidRPr="004B233F" w:rsidRDefault="008153CD" w:rsidP="0014243F">
          <w:pPr>
            <w:jc w:val="center"/>
            <w:rPr>
              <w:b/>
              <w:i w:val="0"/>
              <w:sz w:val="16"/>
              <w:szCs w:val="16"/>
              <w:lang w:val="es-ES_tradnl"/>
            </w:rPr>
          </w:pPr>
          <w:r w:rsidRPr="004B233F">
            <w:rPr>
              <w:b/>
              <w:i w:val="0"/>
              <w:sz w:val="16"/>
              <w:szCs w:val="16"/>
              <w:lang w:val="es-ES_tradnl"/>
            </w:rPr>
            <w:t>SECRETARÍA DE OBRAS PÚBLICAS DEL GOBIERNO DEL ESTADO DE SINALOA</w:t>
          </w:r>
        </w:p>
        <w:p w:rsidR="008153CD" w:rsidRPr="004B233F" w:rsidRDefault="008153CD" w:rsidP="00E22724">
          <w:pPr>
            <w:pStyle w:val="Ttulo5"/>
            <w:rPr>
              <w:b/>
              <w:i w:val="0"/>
              <w:sz w:val="16"/>
              <w:szCs w:val="16"/>
            </w:rPr>
          </w:pPr>
          <w:r w:rsidRPr="004B233F">
            <w:rPr>
              <w:b/>
              <w:i w:val="0"/>
              <w:sz w:val="16"/>
              <w:szCs w:val="16"/>
            </w:rPr>
            <w:t xml:space="preserve">JUNTA MUNICIPAL DE AGUA POTABLE Y ALCANTARILLADO DE </w:t>
          </w:r>
          <w:r w:rsidR="00336F8E">
            <w:rPr>
              <w:b/>
              <w:i w:val="0"/>
              <w:sz w:val="16"/>
              <w:szCs w:val="16"/>
            </w:rPr>
            <w:t>MAZATLAN</w:t>
          </w:r>
        </w:p>
        <w:p w:rsidR="008153CD" w:rsidRPr="004B233F" w:rsidRDefault="008153CD" w:rsidP="00E22724">
          <w:pPr>
            <w:jc w:val="center"/>
            <w:rPr>
              <w:b/>
              <w:bCs/>
              <w:i w:val="0"/>
              <w:iCs/>
              <w:sz w:val="16"/>
              <w:szCs w:val="16"/>
              <w:lang w:val="es-ES_tradnl"/>
            </w:rPr>
          </w:pPr>
          <w:r w:rsidRPr="004B233F">
            <w:rPr>
              <w:b/>
              <w:bCs/>
              <w:i w:val="0"/>
              <w:iCs/>
              <w:sz w:val="16"/>
              <w:szCs w:val="16"/>
              <w:lang w:val="es-ES_tradnl"/>
            </w:rPr>
            <w:t>COMISIÓN NACIONAL DEL AGUA (CONAGUA)</w:t>
          </w:r>
        </w:p>
        <w:p w:rsidR="008153CD" w:rsidRPr="004B233F" w:rsidRDefault="008153CD" w:rsidP="007D7457">
          <w:pPr>
            <w:rPr>
              <w:sz w:val="16"/>
              <w:szCs w:val="16"/>
            </w:rPr>
          </w:pPr>
        </w:p>
        <w:p w:rsidR="008153CD" w:rsidRDefault="008153CD"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sidR="00D25746">
            <w:rPr>
              <w:b/>
              <w:i w:val="0"/>
              <w:sz w:val="16"/>
              <w:szCs w:val="16"/>
            </w:rPr>
            <w:t>4</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DE </w:t>
          </w:r>
          <w:r>
            <w:rPr>
              <w:b/>
              <w:i w:val="0"/>
              <w:sz w:val="16"/>
              <w:szCs w:val="16"/>
            </w:rPr>
            <w:t>PUNTOS Y PORCENTAJES</w:t>
          </w:r>
          <w:r w:rsidRPr="004B233F">
            <w:rPr>
              <w:b/>
              <w:i w:val="0"/>
              <w:sz w:val="16"/>
              <w:szCs w:val="16"/>
            </w:rPr>
            <w:t>.</w:t>
          </w:r>
        </w:p>
        <w:p w:rsidR="008153CD" w:rsidRPr="005109E4" w:rsidRDefault="008153CD" w:rsidP="00E33F3B">
          <w:pPr>
            <w:jc w:val="both"/>
            <w:rPr>
              <w:lang w:val="es-ES_tradnl"/>
            </w:rPr>
          </w:pPr>
        </w:p>
      </w:tc>
    </w:tr>
  </w:tbl>
  <w:p w:rsidR="008153CD" w:rsidRDefault="008153CD"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sidR="00B97454">
        <w:rPr>
          <w:noProof/>
        </w:rPr>
        <w:t>48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8153CD" w:rsidTr="004C1BDC">
      <w:trPr>
        <w:cantSplit/>
        <w:trHeight w:val="1151"/>
      </w:trPr>
      <w:tc>
        <w:tcPr>
          <w:tcW w:w="9900" w:type="dxa"/>
        </w:tcPr>
        <w:p w:rsidR="008153CD" w:rsidRPr="004C30DF" w:rsidRDefault="008153CD" w:rsidP="004C30DF">
          <w:pPr>
            <w:pStyle w:val="Ttulo5"/>
            <w:jc w:val="left"/>
            <w:rPr>
              <w:b/>
              <w:i w:val="0"/>
              <w:lang w:val="es-MX"/>
            </w:rPr>
          </w:pPr>
        </w:p>
      </w:tc>
    </w:tr>
  </w:tbl>
  <w:p w:rsidR="008153CD" w:rsidRDefault="008153CD"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CD" w:rsidRDefault="008153C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sidR="00B97454">
        <w:rPr>
          <w:noProof/>
        </w:rPr>
        <w:t>48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1E48"/>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5247"/>
    <w:rsid w:val="0014526F"/>
    <w:rsid w:val="00145F93"/>
    <w:rsid w:val="00151578"/>
    <w:rsid w:val="001536E8"/>
    <w:rsid w:val="001542BD"/>
    <w:rsid w:val="001547BF"/>
    <w:rsid w:val="00155650"/>
    <w:rsid w:val="0015725C"/>
    <w:rsid w:val="00157821"/>
    <w:rsid w:val="001666A7"/>
    <w:rsid w:val="0016685C"/>
    <w:rsid w:val="0017212C"/>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6FFF"/>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6F8E"/>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75DE8"/>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1111"/>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2180"/>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27D86"/>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3CD"/>
    <w:rsid w:val="008154BD"/>
    <w:rsid w:val="00816B31"/>
    <w:rsid w:val="0081756A"/>
    <w:rsid w:val="00817ADD"/>
    <w:rsid w:val="0082062F"/>
    <w:rsid w:val="00821528"/>
    <w:rsid w:val="0082277F"/>
    <w:rsid w:val="00830DD1"/>
    <w:rsid w:val="00831582"/>
    <w:rsid w:val="00832320"/>
    <w:rsid w:val="0083518B"/>
    <w:rsid w:val="00837243"/>
    <w:rsid w:val="00837A53"/>
    <w:rsid w:val="008412E1"/>
    <w:rsid w:val="00841F20"/>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0F9C"/>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A613E"/>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3B56"/>
    <w:rsid w:val="00B63C48"/>
    <w:rsid w:val="00B63C49"/>
    <w:rsid w:val="00B7234C"/>
    <w:rsid w:val="00B7499E"/>
    <w:rsid w:val="00B74C61"/>
    <w:rsid w:val="00B76D07"/>
    <w:rsid w:val="00B85C2E"/>
    <w:rsid w:val="00B85CC5"/>
    <w:rsid w:val="00B90F83"/>
    <w:rsid w:val="00B933BB"/>
    <w:rsid w:val="00B93A38"/>
    <w:rsid w:val="00B94874"/>
    <w:rsid w:val="00B94A66"/>
    <w:rsid w:val="00B95BCB"/>
    <w:rsid w:val="00B963BF"/>
    <w:rsid w:val="00B97454"/>
    <w:rsid w:val="00BA152B"/>
    <w:rsid w:val="00BA1D71"/>
    <w:rsid w:val="00BA2238"/>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FAB"/>
    <w:rsid w:val="00BE35C6"/>
    <w:rsid w:val="00BE5068"/>
    <w:rsid w:val="00BE6053"/>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746"/>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1701F"/>
    <w:rsid w:val="00F202A2"/>
    <w:rsid w:val="00F20E28"/>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695E"/>
    <w:rsid w:val="00F5795F"/>
    <w:rsid w:val="00F64343"/>
    <w:rsid w:val="00F645B4"/>
    <w:rsid w:val="00F65D20"/>
    <w:rsid w:val="00F66236"/>
    <w:rsid w:val="00F66624"/>
    <w:rsid w:val="00F678D1"/>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58B3"/>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C5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C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 w:id="1729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25923</Words>
  <Characters>142580</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5</cp:revision>
  <cp:lastPrinted>2017-04-12T21:41:00Z</cp:lastPrinted>
  <dcterms:created xsi:type="dcterms:W3CDTF">2017-04-12T21:17:00Z</dcterms:created>
  <dcterms:modified xsi:type="dcterms:W3CDTF">2017-04-12T21:41:00Z</dcterms:modified>
</cp:coreProperties>
</file>