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786D5099" w:rsidR="00D1094C" w:rsidRDefault="00D1094C" w:rsidP="00D1094C">
      <w:pPr>
        <w:pStyle w:val="Ttulo"/>
      </w:pPr>
      <w:r>
        <w:t>Convocatoria a la Licitación Pública Nacional Número GES</w:t>
      </w:r>
      <w:r w:rsidR="001003B3">
        <w:t xml:space="preserve"> 07</w:t>
      </w:r>
      <w:r w:rsidRPr="001003B3">
        <w:t>/202</w:t>
      </w:r>
      <w:r w:rsidR="00E818DE" w:rsidRPr="001003B3">
        <w:t>4</w:t>
      </w:r>
    </w:p>
    <w:p w14:paraId="71AAAE4B" w14:textId="77777777" w:rsidR="00D1094C" w:rsidRPr="00551704" w:rsidRDefault="00D1094C" w:rsidP="00D1094C">
      <w:pPr>
        <w:pStyle w:val="Ttulo"/>
        <w:rPr>
          <w:sz w:val="16"/>
        </w:rPr>
      </w:pPr>
    </w:p>
    <w:p w14:paraId="1BC9CA3A" w14:textId="25069E91" w:rsidR="00D1094C" w:rsidRDefault="0043281F" w:rsidP="0043281F">
      <w:pPr>
        <w:pStyle w:val="Ttulo"/>
        <w:jc w:val="both"/>
        <w:rPr>
          <w:lang w:val="es-MX"/>
        </w:rPr>
      </w:pPr>
      <w:r w:rsidRPr="0043281F">
        <w:rPr>
          <w:lang w:val="es-MX"/>
        </w:rPr>
        <w:t>Adquisición de vehículos, solicitad</w:t>
      </w:r>
      <w:r w:rsidR="005C3E65">
        <w:rPr>
          <w:lang w:val="es-MX"/>
        </w:rPr>
        <w:t>o</w:t>
      </w:r>
      <w:r>
        <w:rPr>
          <w:lang w:val="es-MX"/>
        </w:rPr>
        <w:t xml:space="preserve"> para diversas áreas de  Gobierno del Estado de Sinaloa y </w:t>
      </w:r>
      <w:r w:rsidRPr="0043281F">
        <w:rPr>
          <w:lang w:val="es-MX"/>
        </w:rPr>
        <w:t xml:space="preserve"> por la Secretaría de Seguridad Pública</w:t>
      </w:r>
      <w:r>
        <w:rPr>
          <w:lang w:val="es-MX"/>
        </w:rPr>
        <w:t>.</w:t>
      </w:r>
    </w:p>
    <w:p w14:paraId="2E12DCA5" w14:textId="77777777" w:rsidR="0043281F" w:rsidRPr="00551704" w:rsidRDefault="0043281F" w:rsidP="0043281F">
      <w:pPr>
        <w:pStyle w:val="Ttulo"/>
        <w:jc w:val="both"/>
        <w:rPr>
          <w:sz w:val="16"/>
        </w:rPr>
      </w:pPr>
    </w:p>
    <w:p w14:paraId="275FCCC4" w14:textId="759FB62A"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1003B3">
        <w:rPr>
          <w:rFonts w:ascii="Arial" w:hAnsi="Arial" w:cs="Arial"/>
          <w:b/>
          <w:spacing w:val="-2"/>
          <w:lang w:val="es-ES_tradnl"/>
        </w:rPr>
        <w:t xml:space="preserve"> 07</w:t>
      </w:r>
      <w:r w:rsidRPr="00CF575A">
        <w:rPr>
          <w:rFonts w:ascii="Arial" w:hAnsi="Arial" w:cs="Arial"/>
          <w:b/>
          <w:spacing w:val="-2"/>
          <w:lang w:val="es-ES_tradnl"/>
        </w:rPr>
        <w:t>/202</w:t>
      </w:r>
      <w:r w:rsidR="00E818DE">
        <w:rPr>
          <w:rFonts w:ascii="Arial" w:hAnsi="Arial" w:cs="Arial"/>
          <w:b/>
          <w:spacing w:val="-2"/>
          <w:lang w:val="es-ES_tradnl"/>
        </w:rPr>
        <w:t>4</w:t>
      </w:r>
      <w:r w:rsidRPr="002437B4">
        <w:rPr>
          <w:rFonts w:ascii="Arial" w:hAnsi="Arial" w:cs="Arial"/>
          <w:spacing w:val="-2"/>
          <w:lang w:val="es-ES_tradnl"/>
        </w:rPr>
        <w:t xml:space="preserve">, para la adquisición </w:t>
      </w:r>
      <w:r w:rsidR="0043281F" w:rsidRPr="0043281F">
        <w:rPr>
          <w:rFonts w:ascii="Arial" w:hAnsi="Arial" w:cs="Arial"/>
          <w:spacing w:val="-2"/>
        </w:rPr>
        <w:t>de vehículos, solicitad</w:t>
      </w:r>
      <w:r w:rsidR="005C3E65">
        <w:rPr>
          <w:rFonts w:ascii="Arial" w:hAnsi="Arial" w:cs="Arial"/>
          <w:spacing w:val="-2"/>
        </w:rPr>
        <w:t>o</w:t>
      </w:r>
      <w:r w:rsidR="0043281F" w:rsidRPr="0043281F">
        <w:rPr>
          <w:rFonts w:ascii="Arial" w:hAnsi="Arial" w:cs="Arial"/>
          <w:spacing w:val="-2"/>
        </w:rPr>
        <w:t xml:space="preserve"> para diversas áreas de  Gobierno del Estado de Sinaloa y  por la Secretaría de Seguridad Pública</w:t>
      </w:r>
      <w:r w:rsidRPr="002437B4">
        <w:rPr>
          <w:rFonts w:ascii="Arial" w:hAnsi="Arial" w:cs="Arial"/>
          <w:spacing w:val="-2"/>
          <w:lang w:val="es-ES_tradnl"/>
        </w:rPr>
        <w:t>.</w:t>
      </w:r>
    </w:p>
    <w:p w14:paraId="14E521B9" w14:textId="5516755F"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Pr="0043281F">
        <w:rPr>
          <w:rFonts w:ascii="Arial" w:hAnsi="Arial" w:cs="Arial"/>
          <w:b/>
          <w:spacing w:val="-2"/>
          <w:lang w:val="es-ES_tradnl"/>
        </w:rPr>
        <w:t>Bienes;</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1F2545DA" w14:textId="77777777" w:rsidR="00D1094C" w:rsidRPr="006F382B" w:rsidRDefault="00D1094C" w:rsidP="00D1094C">
      <w:pPr>
        <w:tabs>
          <w:tab w:val="left" w:pos="-720"/>
        </w:tabs>
        <w:suppressAutoHyphens/>
        <w:jc w:val="both"/>
        <w:rPr>
          <w:rFonts w:ascii="Arial" w:hAnsi="Arial" w:cs="Arial"/>
          <w:spacing w:val="-2"/>
          <w:sz w:val="2"/>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5216035B"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1003B3">
        <w:rPr>
          <w:rFonts w:ascii="Arial" w:hAnsi="Arial" w:cs="Arial"/>
          <w:b/>
          <w:spacing w:val="-2"/>
          <w:lang w:val="es-ES_tradnl"/>
        </w:rPr>
        <w:t xml:space="preserve"> 07</w:t>
      </w:r>
      <w:r w:rsidRPr="002437B4">
        <w:rPr>
          <w:rFonts w:ascii="Arial" w:hAnsi="Arial" w:cs="Arial"/>
          <w:b/>
          <w:spacing w:val="-2"/>
          <w:lang w:val="es-ES_tradnl"/>
        </w:rPr>
        <w:t>/20</w:t>
      </w:r>
      <w:r>
        <w:rPr>
          <w:rFonts w:ascii="Arial" w:hAnsi="Arial" w:cs="Arial"/>
          <w:b/>
          <w:spacing w:val="-2"/>
          <w:lang w:val="es-ES_tradnl"/>
        </w:rPr>
        <w:t>2</w:t>
      </w:r>
      <w:r w:rsidR="00E818DE">
        <w:rPr>
          <w:rFonts w:ascii="Arial" w:hAnsi="Arial" w:cs="Arial"/>
          <w:b/>
          <w:spacing w:val="-2"/>
          <w:lang w:val="es-ES_tradnl"/>
        </w:rPr>
        <w:t>4</w:t>
      </w:r>
      <w:r w:rsidRPr="002437B4">
        <w:rPr>
          <w:rFonts w:ascii="Arial" w:hAnsi="Arial" w:cs="Arial"/>
          <w:spacing w:val="-2"/>
          <w:lang w:val="es-ES_tradnl"/>
        </w:rPr>
        <w:t xml:space="preserve">, se llevará </w:t>
      </w:r>
      <w:r w:rsidRPr="001003B3">
        <w:rPr>
          <w:rFonts w:ascii="Arial" w:hAnsi="Arial" w:cs="Arial"/>
          <w:spacing w:val="-2"/>
          <w:lang w:val="es-ES_tradnl"/>
        </w:rPr>
        <w:t xml:space="preserve">a cabo conforme a lo dispuesto en los Artículos 37, 40 y 41 de la Ley de Adquisiciones, Arrendamientos, Servicios y Administración de Bienes Muebles para el Estado de Sinaloa, a las </w:t>
      </w:r>
      <w:r w:rsidR="0043281F" w:rsidRPr="001003B3">
        <w:rPr>
          <w:rFonts w:ascii="Arial" w:hAnsi="Arial" w:cs="Arial"/>
          <w:b/>
          <w:spacing w:val="-2"/>
          <w:lang w:val="es-ES_tradnl"/>
        </w:rPr>
        <w:t>12</w:t>
      </w:r>
      <w:r w:rsidRPr="001003B3">
        <w:rPr>
          <w:rFonts w:ascii="Arial" w:hAnsi="Arial" w:cs="Arial"/>
          <w:b/>
          <w:spacing w:val="-2"/>
          <w:lang w:val="es-ES_tradnl"/>
        </w:rPr>
        <w:t>:00 horas</w:t>
      </w:r>
      <w:r w:rsidRPr="001003B3">
        <w:rPr>
          <w:rFonts w:ascii="Arial" w:hAnsi="Arial" w:cs="Arial"/>
          <w:spacing w:val="-2"/>
          <w:lang w:val="es-ES_tradnl"/>
        </w:rPr>
        <w:t xml:space="preserve">, del día </w:t>
      </w:r>
      <w:r w:rsidR="001003B3" w:rsidRPr="001003B3">
        <w:rPr>
          <w:rFonts w:ascii="Arial" w:hAnsi="Arial" w:cs="Arial"/>
          <w:b/>
          <w:spacing w:val="-2"/>
          <w:lang w:val="es-ES_tradnl"/>
        </w:rPr>
        <w:t xml:space="preserve">22 </w:t>
      </w:r>
      <w:r w:rsidRPr="001003B3">
        <w:rPr>
          <w:rFonts w:ascii="Arial" w:hAnsi="Arial" w:cs="Arial"/>
          <w:b/>
          <w:spacing w:val="-2"/>
          <w:lang w:val="es-ES_tradnl"/>
        </w:rPr>
        <w:t>de</w:t>
      </w:r>
      <w:r w:rsidR="0043281F" w:rsidRPr="001003B3">
        <w:rPr>
          <w:rFonts w:ascii="Arial" w:hAnsi="Arial" w:cs="Arial"/>
          <w:b/>
          <w:spacing w:val="-2"/>
          <w:lang w:val="es-ES_tradnl"/>
        </w:rPr>
        <w:t xml:space="preserve"> </w:t>
      </w:r>
      <w:r w:rsidR="001003B3" w:rsidRPr="001003B3">
        <w:rPr>
          <w:rFonts w:ascii="Arial" w:hAnsi="Arial" w:cs="Arial"/>
          <w:b/>
          <w:spacing w:val="-2"/>
          <w:lang w:val="es-ES_tradnl"/>
        </w:rPr>
        <w:t>abril</w:t>
      </w:r>
      <w:r w:rsidRPr="001003B3">
        <w:rPr>
          <w:rFonts w:ascii="Arial" w:hAnsi="Arial" w:cs="Arial"/>
          <w:b/>
          <w:spacing w:val="-2"/>
          <w:lang w:val="es-ES_tradnl"/>
        </w:rPr>
        <w:t xml:space="preserve"> 202</w:t>
      </w:r>
      <w:r w:rsidR="00E818DE" w:rsidRPr="001003B3">
        <w:rPr>
          <w:rFonts w:ascii="Arial" w:hAnsi="Arial" w:cs="Arial"/>
          <w:b/>
          <w:spacing w:val="-2"/>
          <w:lang w:val="es-ES_tradnl"/>
        </w:rPr>
        <w:t>4</w:t>
      </w:r>
      <w:r w:rsidRPr="001003B3">
        <w:rPr>
          <w:rFonts w:ascii="Arial" w:hAnsi="Arial" w:cs="Arial"/>
          <w:spacing w:val="-2"/>
          <w:lang w:val="es-ES_tradnl"/>
        </w:rPr>
        <w:t xml:space="preserve"> en la Sala de Juntas de la Dirección de Bienes y Suministros de la Subsecretaría de Administración, ubicada en el primer piso de la Unidad Administr</w:t>
      </w:r>
      <w:r w:rsidRPr="002437B4">
        <w:rPr>
          <w:rFonts w:ascii="Arial" w:hAnsi="Arial" w:cs="Arial"/>
          <w:spacing w:val="-2"/>
          <w:lang w:val="es-ES_tradnl"/>
        </w:rPr>
        <w:t>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49BC668C"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43281F">
        <w:rPr>
          <w:rFonts w:ascii="Arial" w:hAnsi="Arial" w:cs="Arial"/>
          <w:spacing w:val="-2"/>
        </w:rPr>
        <w:t xml:space="preserve"> </w:t>
      </w:r>
      <w:r>
        <w:rPr>
          <w:rFonts w:ascii="Arial" w:hAnsi="Arial" w:cs="Arial"/>
          <w:spacing w:val="-2"/>
        </w:rPr>
        <w:t>l</w:t>
      </w:r>
      <w:r w:rsidR="0043281F">
        <w:rPr>
          <w:rFonts w:ascii="Arial" w:hAnsi="Arial" w:cs="Arial"/>
          <w:spacing w:val="-2"/>
        </w:rPr>
        <w:t>a</w:t>
      </w:r>
      <w:r>
        <w:rPr>
          <w:rFonts w:ascii="Arial" w:hAnsi="Arial" w:cs="Arial"/>
          <w:spacing w:val="-2"/>
        </w:rPr>
        <w:t xml:space="preserve"> </w:t>
      </w:r>
      <w:r w:rsidR="0043281F">
        <w:rPr>
          <w:rFonts w:ascii="Arial" w:hAnsi="Arial" w:cs="Arial"/>
          <w:spacing w:val="-2"/>
        </w:rPr>
        <w:t>Dirección de Bienes y Suministros y la Secretaría de Seguridad Pública,</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lastRenderedPageBreak/>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45979556" w:rsidR="00D1094C" w:rsidRPr="001003B3"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w:t>
      </w:r>
      <w:r w:rsidR="00A129FC" w:rsidRPr="00A129FC">
        <w:rPr>
          <w:color w:val="000000"/>
          <w:sz w:val="22"/>
          <w:szCs w:val="22"/>
          <w:lang w:val="es-MX"/>
        </w:rPr>
        <w:t xml:space="preserve"> entregarlas documentalmente y en USB</w:t>
      </w:r>
      <w:r>
        <w:rPr>
          <w:color w:val="000000"/>
          <w:sz w:val="22"/>
          <w:szCs w:val="22"/>
        </w:rPr>
        <w:t xml:space="preserv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w:t>
      </w:r>
      <w:r w:rsidRPr="001003B3">
        <w:rPr>
          <w:color w:val="000000"/>
          <w:sz w:val="22"/>
          <w:szCs w:val="22"/>
        </w:rPr>
        <w:t xml:space="preserve">les José Aguilar Barraza y  16 de Septiembre, Colonia Centro Sinaloa, C.P. 80129, en Culiacán, Sinaloa, dependiendo del tipo de Licitación de que se trate, a más tardar a las </w:t>
      </w:r>
      <w:r w:rsidRPr="001003B3">
        <w:rPr>
          <w:b/>
          <w:color w:val="000000"/>
          <w:sz w:val="22"/>
          <w:szCs w:val="22"/>
        </w:rPr>
        <w:t>10:00 horas</w:t>
      </w:r>
      <w:r w:rsidRPr="001003B3">
        <w:rPr>
          <w:color w:val="000000"/>
          <w:sz w:val="22"/>
          <w:szCs w:val="22"/>
        </w:rPr>
        <w:t xml:space="preserve">, del día </w:t>
      </w:r>
      <w:r w:rsidR="001003B3" w:rsidRPr="001003B3">
        <w:rPr>
          <w:b/>
          <w:color w:val="000000"/>
          <w:sz w:val="22"/>
          <w:szCs w:val="22"/>
        </w:rPr>
        <w:t>19</w:t>
      </w:r>
      <w:r w:rsidRPr="001003B3">
        <w:rPr>
          <w:b/>
          <w:color w:val="000000"/>
          <w:sz w:val="22"/>
          <w:szCs w:val="22"/>
        </w:rPr>
        <w:t xml:space="preserve"> de</w:t>
      </w:r>
      <w:r w:rsidR="0043281F" w:rsidRPr="001003B3">
        <w:rPr>
          <w:b/>
          <w:color w:val="000000"/>
          <w:sz w:val="22"/>
          <w:szCs w:val="22"/>
        </w:rPr>
        <w:t xml:space="preserve"> </w:t>
      </w:r>
      <w:r w:rsidR="001003B3" w:rsidRPr="001003B3">
        <w:rPr>
          <w:b/>
          <w:color w:val="000000"/>
          <w:sz w:val="22"/>
          <w:szCs w:val="22"/>
        </w:rPr>
        <w:t>abril</w:t>
      </w:r>
      <w:r w:rsidRPr="001003B3">
        <w:rPr>
          <w:b/>
          <w:color w:val="000000"/>
          <w:sz w:val="22"/>
          <w:szCs w:val="22"/>
        </w:rPr>
        <w:t xml:space="preserve"> 202</w:t>
      </w:r>
      <w:r w:rsidR="00E818DE" w:rsidRPr="001003B3">
        <w:rPr>
          <w:b/>
          <w:color w:val="000000"/>
          <w:sz w:val="22"/>
          <w:szCs w:val="22"/>
        </w:rPr>
        <w:t>4</w:t>
      </w:r>
      <w:r w:rsidRPr="001003B3">
        <w:rPr>
          <w:color w:val="000000"/>
          <w:sz w:val="22"/>
          <w:szCs w:val="22"/>
        </w:rPr>
        <w:t>.</w:t>
      </w:r>
    </w:p>
    <w:p w14:paraId="3CEE7318" w14:textId="77777777" w:rsidR="00D1094C" w:rsidRPr="001003B3" w:rsidRDefault="00D1094C" w:rsidP="00D1094C">
      <w:pPr>
        <w:pStyle w:val="Texto"/>
        <w:spacing w:after="0" w:line="240" w:lineRule="auto"/>
        <w:ind w:firstLine="0"/>
        <w:rPr>
          <w:color w:val="000000"/>
          <w:sz w:val="16"/>
          <w:szCs w:val="22"/>
        </w:rPr>
      </w:pPr>
    </w:p>
    <w:p w14:paraId="22C23943" w14:textId="77777777" w:rsidR="00D1094C" w:rsidRDefault="00D1094C" w:rsidP="00D1094C">
      <w:pPr>
        <w:pStyle w:val="Texto"/>
        <w:spacing w:after="0" w:line="240" w:lineRule="auto"/>
        <w:ind w:firstLine="0"/>
        <w:rPr>
          <w:color w:val="000000"/>
          <w:sz w:val="22"/>
          <w:szCs w:val="22"/>
        </w:rPr>
      </w:pPr>
      <w:r w:rsidRPr="001003B3">
        <w:rPr>
          <w:color w:val="000000"/>
          <w:sz w:val="22"/>
          <w:szCs w:val="22"/>
        </w:rPr>
        <w:t>Las preguntas recibidas con posterioridad a</w:t>
      </w:r>
      <w:r>
        <w:rPr>
          <w:color w:val="000000"/>
          <w:sz w:val="22"/>
          <w:szCs w:val="22"/>
        </w:rPr>
        <w:t>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551704" w:rsidRDefault="00D1094C" w:rsidP="00D1094C">
      <w:pPr>
        <w:pStyle w:val="Texto"/>
        <w:spacing w:after="0" w:line="240" w:lineRule="auto"/>
        <w:ind w:firstLine="0"/>
        <w:rPr>
          <w:color w:val="000000"/>
          <w:sz w:val="16"/>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551704" w:rsidRDefault="005F13E2" w:rsidP="00D1094C">
      <w:pPr>
        <w:pStyle w:val="Texto"/>
        <w:spacing w:after="0" w:line="240" w:lineRule="auto"/>
        <w:ind w:firstLine="0"/>
        <w:rPr>
          <w:color w:val="000000"/>
          <w:sz w:val="16"/>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6FA1C9CD" w14:textId="77777777" w:rsidR="00D1094C" w:rsidRPr="00551704" w:rsidRDefault="00D1094C" w:rsidP="00D1094C">
      <w:pPr>
        <w:tabs>
          <w:tab w:val="left" w:pos="-720"/>
          <w:tab w:val="left" w:pos="0"/>
        </w:tabs>
        <w:suppressAutoHyphens/>
        <w:jc w:val="both"/>
        <w:rPr>
          <w:rFonts w:ascii="Arial" w:hAnsi="Arial" w:cs="Arial"/>
          <w:color w:val="000000"/>
          <w:sz w:val="2"/>
        </w:rPr>
      </w:pPr>
    </w:p>
    <w:p w14:paraId="2CC7A480" w14:textId="57FEE056"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w:t>
      </w:r>
      <w:r w:rsidR="00C954B3">
        <w:rPr>
          <w:rFonts w:ascii="Arial" w:hAnsi="Arial" w:cs="Arial"/>
          <w:b/>
          <w:color w:val="000000"/>
        </w:rPr>
        <w:t xml:space="preserve"> </w:t>
      </w:r>
      <w:r>
        <w:rPr>
          <w:rFonts w:ascii="Arial" w:hAnsi="Arial" w:cs="Arial"/>
          <w:b/>
          <w:color w:val="000000"/>
        </w:rPr>
        <w:t>l</w:t>
      </w:r>
      <w:r w:rsidR="00C954B3">
        <w:rPr>
          <w:rFonts w:ascii="Arial" w:hAnsi="Arial" w:cs="Arial"/>
          <w:b/>
          <w:color w:val="000000"/>
        </w:rPr>
        <w:t>a</w:t>
      </w:r>
      <w:r>
        <w:rPr>
          <w:rFonts w:ascii="Arial" w:hAnsi="Arial" w:cs="Arial"/>
          <w:b/>
          <w:color w:val="000000"/>
        </w:rPr>
        <w:t xml:space="preserve"> Con</w:t>
      </w:r>
      <w:r w:rsidR="00C954B3">
        <w:rPr>
          <w:rFonts w:ascii="Arial" w:hAnsi="Arial" w:cs="Arial"/>
          <w:b/>
          <w:color w:val="000000"/>
        </w:rPr>
        <w:t>vocatoria</w:t>
      </w:r>
    </w:p>
    <w:p w14:paraId="1E21A2B5" w14:textId="0B7E7D1E" w:rsidR="00FA2C67" w:rsidRPr="00082A9D" w:rsidRDefault="00FA2C67" w:rsidP="00FA2C67">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Pr>
          <w:rFonts w:ascii="Arial" w:hAnsi="Arial" w:cs="Arial"/>
          <w:color w:val="000000"/>
        </w:rPr>
        <w:t>Co</w:t>
      </w:r>
      <w:r w:rsidRPr="00082A9D">
        <w:rPr>
          <w:rFonts w:ascii="Arial" w:eastAsia="Times New Roman" w:hAnsi="Arial" w:cs="Arial"/>
          <w:color w:val="000000"/>
          <w:lang w:val="es-ES" w:eastAsia="es-ES"/>
        </w:rPr>
        <w:t xml:space="preserve">n fundamento en lo que establece el </w:t>
      </w:r>
      <w:r w:rsidRPr="00082A9D">
        <w:rPr>
          <w:rFonts w:ascii="Arial" w:eastAsia="Times New Roman" w:hAnsi="Arial" w:cs="Arial"/>
          <w:b/>
          <w:color w:val="000000"/>
          <w:lang w:val="es-ES" w:eastAsia="es-ES"/>
        </w:rPr>
        <w:t>Artículo 33, Fracción I</w:t>
      </w:r>
      <w:r w:rsidRPr="00082A9D">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082A9D">
        <w:rPr>
          <w:rFonts w:ascii="Arial" w:eastAsia="Times New Roman" w:hAnsi="Arial" w:cs="Arial"/>
          <w:b/>
          <w:color w:val="000000"/>
          <w:lang w:val="es-ES" w:eastAsia="es-ES"/>
        </w:rPr>
        <w:t>presencial</w:t>
      </w:r>
      <w:r w:rsidRPr="00082A9D">
        <w:rPr>
          <w:rFonts w:ascii="Arial" w:eastAsia="Times New Roman" w:hAnsi="Arial" w:cs="Arial"/>
          <w:color w:val="000000"/>
          <w:lang w:val="es-ES" w:eastAsia="es-ES"/>
        </w:rPr>
        <w:t>,</w:t>
      </w:r>
      <w:r>
        <w:rPr>
          <w:rFonts w:ascii="Arial" w:eastAsia="Times New Roman" w:hAnsi="Arial" w:cs="Arial"/>
          <w:color w:val="000000"/>
          <w:lang w:val="es-ES" w:eastAsia="es-ES"/>
        </w:rPr>
        <w:t xml:space="preserve"> en la cual </w:t>
      </w:r>
      <w:r w:rsidRPr="00082A9D">
        <w:rPr>
          <w:rFonts w:ascii="Arial" w:eastAsia="Times New Roman" w:hAnsi="Arial" w:cs="Arial"/>
          <w:color w:val="000000"/>
          <w:lang w:val="es-ES" w:eastAsia="es-ES"/>
        </w:rPr>
        <w:t xml:space="preserve">los licitantes </w:t>
      </w:r>
      <w:r>
        <w:rPr>
          <w:rFonts w:ascii="Arial" w:eastAsia="Times New Roman" w:hAnsi="Arial" w:cs="Arial"/>
          <w:color w:val="000000"/>
          <w:lang w:val="es-ES" w:eastAsia="es-ES"/>
        </w:rPr>
        <w:t>podrán</w:t>
      </w:r>
      <w:r w:rsidRPr="00082A9D">
        <w:rPr>
          <w:rFonts w:ascii="Arial" w:eastAsia="Times New Roman" w:hAnsi="Arial" w:cs="Arial"/>
          <w:color w:val="000000"/>
          <w:lang w:val="es-ES" w:eastAsia="es-ES"/>
        </w:rPr>
        <w:t xml:space="preserve"> </w:t>
      </w:r>
      <w:r>
        <w:rPr>
          <w:rFonts w:ascii="Arial" w:eastAsia="Times New Roman" w:hAnsi="Arial" w:cs="Arial"/>
          <w:color w:val="000000"/>
          <w:lang w:val="es-ES" w:eastAsia="es-ES"/>
        </w:rPr>
        <w:t xml:space="preserve">presentar </w:t>
      </w:r>
      <w:r w:rsidRPr="00082A9D">
        <w:rPr>
          <w:rFonts w:ascii="Arial" w:eastAsia="Times New Roman" w:hAnsi="Arial" w:cs="Arial"/>
          <w:color w:val="000000"/>
          <w:lang w:val="es-ES" w:eastAsia="es-ES"/>
        </w:rPr>
        <w:t>sus propuesta</w:t>
      </w:r>
      <w:r w:rsidRPr="001003B3">
        <w:rPr>
          <w:rFonts w:ascii="Arial" w:eastAsia="Times New Roman" w:hAnsi="Arial" w:cs="Arial"/>
          <w:color w:val="000000"/>
          <w:lang w:val="es-ES" w:eastAsia="es-ES"/>
        </w:rPr>
        <w:t xml:space="preserve">s en </w:t>
      </w:r>
      <w:r w:rsidRPr="001003B3">
        <w:rPr>
          <w:rFonts w:ascii="Arial" w:eastAsia="Times New Roman" w:hAnsi="Arial" w:cs="Arial"/>
          <w:b/>
          <w:color w:val="000000"/>
          <w:lang w:val="es-ES" w:eastAsia="es-ES"/>
        </w:rPr>
        <w:t>sobre cerrado</w:t>
      </w:r>
      <w:r w:rsidRPr="001003B3">
        <w:rPr>
          <w:rFonts w:ascii="Arial" w:eastAsia="Times New Roman" w:hAnsi="Arial" w:cs="Arial"/>
          <w:color w:val="000000"/>
          <w:lang w:val="es-ES" w:eastAsia="es-ES"/>
        </w:rPr>
        <w:t xml:space="preserve">, que contendrá la documentación legal y de identificación, propuestas técnica y económica, en forma segura; asimismo lo podrán enviar por </w:t>
      </w:r>
      <w:r w:rsidRPr="001003B3">
        <w:rPr>
          <w:rFonts w:ascii="Arial" w:eastAsia="Times New Roman" w:hAnsi="Arial" w:cs="Arial"/>
          <w:b/>
          <w:color w:val="000000"/>
          <w:lang w:val="es-ES" w:eastAsia="es-ES"/>
        </w:rPr>
        <w:t>servicio postal o mensajería</w:t>
      </w:r>
      <w:r w:rsidRPr="001003B3">
        <w:rPr>
          <w:rFonts w:ascii="Arial" w:eastAsia="Times New Roman" w:hAnsi="Arial" w:cs="Arial"/>
          <w:color w:val="000000"/>
          <w:lang w:val="es-ES" w:eastAsia="es-ES"/>
        </w:rPr>
        <w:t xml:space="preserve">, dicho sobre deberá ser recibido antes de la </w:t>
      </w:r>
      <w:r w:rsidR="001003B3" w:rsidRPr="001003B3">
        <w:rPr>
          <w:rFonts w:ascii="Arial" w:eastAsia="Times New Roman" w:hAnsi="Arial" w:cs="Arial"/>
          <w:b/>
          <w:color w:val="000000"/>
          <w:lang w:val="es-ES" w:eastAsia="es-ES"/>
        </w:rPr>
        <w:t>12</w:t>
      </w:r>
      <w:r w:rsidRPr="001003B3">
        <w:rPr>
          <w:rFonts w:ascii="Arial" w:eastAsia="Times New Roman" w:hAnsi="Arial" w:cs="Arial"/>
          <w:b/>
          <w:color w:val="000000"/>
          <w:lang w:val="es-ES" w:eastAsia="es-ES"/>
        </w:rPr>
        <w:t xml:space="preserve">:00 horas </w:t>
      </w:r>
      <w:r w:rsidRPr="001003B3">
        <w:rPr>
          <w:rFonts w:ascii="Arial" w:eastAsia="Times New Roman" w:hAnsi="Arial" w:cs="Arial"/>
          <w:color w:val="000000"/>
          <w:lang w:val="es-ES" w:eastAsia="es-ES"/>
        </w:rPr>
        <w:t xml:space="preserve">del día </w:t>
      </w:r>
      <w:r w:rsidR="001003B3" w:rsidRPr="001003B3">
        <w:rPr>
          <w:rFonts w:ascii="Arial" w:eastAsia="Times New Roman" w:hAnsi="Arial" w:cs="Arial"/>
          <w:b/>
          <w:color w:val="000000"/>
          <w:lang w:val="es-ES" w:eastAsia="es-ES"/>
        </w:rPr>
        <w:t>29</w:t>
      </w:r>
      <w:r w:rsidRPr="001003B3">
        <w:rPr>
          <w:rFonts w:ascii="Arial" w:eastAsia="Times New Roman" w:hAnsi="Arial" w:cs="Arial"/>
          <w:b/>
          <w:color w:val="000000"/>
          <w:lang w:val="es-ES" w:eastAsia="es-ES"/>
        </w:rPr>
        <w:t xml:space="preserve"> de </w:t>
      </w:r>
      <w:r w:rsidR="001003B3" w:rsidRPr="001003B3">
        <w:rPr>
          <w:rFonts w:ascii="Arial" w:eastAsia="Times New Roman" w:hAnsi="Arial" w:cs="Arial"/>
          <w:b/>
          <w:color w:val="000000"/>
          <w:lang w:val="es-ES" w:eastAsia="es-ES"/>
        </w:rPr>
        <w:t>abril</w:t>
      </w:r>
      <w:r w:rsidRPr="001003B3">
        <w:rPr>
          <w:rFonts w:ascii="Arial" w:eastAsia="Times New Roman" w:hAnsi="Arial" w:cs="Arial"/>
          <w:b/>
          <w:color w:val="000000"/>
          <w:lang w:val="es-ES" w:eastAsia="es-ES"/>
        </w:rPr>
        <w:t xml:space="preserve"> de 202</w:t>
      </w:r>
      <w:r w:rsidR="00E818DE" w:rsidRPr="001003B3">
        <w:rPr>
          <w:rFonts w:ascii="Arial" w:eastAsia="Times New Roman" w:hAnsi="Arial" w:cs="Arial"/>
          <w:b/>
          <w:color w:val="000000"/>
          <w:lang w:val="es-ES" w:eastAsia="es-ES"/>
        </w:rPr>
        <w:t>4</w:t>
      </w:r>
      <w:r w:rsidRPr="001003B3">
        <w:rPr>
          <w:rFonts w:ascii="Arial" w:eastAsia="Times New Roman" w:hAnsi="Arial" w:cs="Arial"/>
          <w:color w:val="000000"/>
          <w:lang w:val="es-ES" w:eastAsia="es-ES"/>
        </w:rPr>
        <w:t>, en las oficinas de la Dirección de Bienes y Suministros, o</w:t>
      </w:r>
      <w:r w:rsidRPr="00082A9D">
        <w:rPr>
          <w:rFonts w:ascii="Arial" w:eastAsia="Times New Roman" w:hAnsi="Arial" w:cs="Arial"/>
          <w:color w:val="000000"/>
          <w:lang w:val="es-ES" w:eastAsia="es-ES"/>
        </w:rPr>
        <w:t xml:space="preserve"> bien podrá entregar sus propuestas en </w:t>
      </w:r>
      <w:r w:rsidRPr="0061324D">
        <w:rPr>
          <w:rFonts w:ascii="Arial" w:eastAsia="Times New Roman" w:hAnsi="Arial" w:cs="Arial"/>
          <w:b/>
          <w:color w:val="000000"/>
          <w:lang w:val="es-ES" w:eastAsia="es-ES"/>
        </w:rPr>
        <w:t>s</w:t>
      </w:r>
      <w:r>
        <w:rPr>
          <w:rFonts w:ascii="Arial" w:eastAsia="Times New Roman" w:hAnsi="Arial" w:cs="Arial"/>
          <w:b/>
          <w:color w:val="000000"/>
          <w:lang w:val="es-ES" w:eastAsia="es-ES"/>
        </w:rPr>
        <w:t>obre c</w:t>
      </w:r>
      <w:r w:rsidRPr="00082A9D">
        <w:rPr>
          <w:rFonts w:ascii="Arial" w:eastAsia="Times New Roman" w:hAnsi="Arial" w:cs="Arial"/>
          <w:b/>
          <w:color w:val="000000"/>
          <w:lang w:val="es-ES" w:eastAsia="es-ES"/>
        </w:rPr>
        <w:t xml:space="preserve">errado </w:t>
      </w:r>
      <w:r w:rsidRPr="00082A9D">
        <w:rPr>
          <w:rFonts w:ascii="Arial" w:eastAsia="Times New Roman" w:hAnsi="Arial" w:cs="Arial"/>
          <w:color w:val="000000"/>
          <w:lang w:val="es-ES" w:eastAsia="es-ES"/>
        </w:rPr>
        <w:t xml:space="preserve">de forma </w:t>
      </w:r>
      <w:r w:rsidRPr="00082A9D">
        <w:rPr>
          <w:rFonts w:ascii="Arial" w:eastAsia="Times New Roman" w:hAnsi="Arial" w:cs="Arial"/>
          <w:color w:val="000000"/>
          <w:lang w:val="es-ES" w:eastAsia="es-ES"/>
        </w:rPr>
        <w:lastRenderedPageBreak/>
        <w:t>personalizada mediante un propio en las oficinas señaladas anteriormente, señalando que es responsabilidad de los licitantes, presentar sus propuestas en tiempo y forma legales, mediante los medios que estime procedentes.</w:t>
      </w:r>
    </w:p>
    <w:p w14:paraId="0B6BB45A" w14:textId="77777777" w:rsidR="00FA2C67" w:rsidRPr="00551704" w:rsidRDefault="00FA2C67" w:rsidP="00FA2C67">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14:paraId="7C2CED01" w14:textId="017A7174"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D7156">
        <w:rPr>
          <w:rFonts w:ascii="Arial" w:eastAsia="Times New Roman" w:hAnsi="Arial" w:cs="Arial"/>
          <w:color w:val="000000"/>
          <w:lang w:val="es-ES" w:eastAsia="es-ES"/>
        </w:rPr>
        <w:t xml:space="preserve">Considerando la naturaleza de los </w:t>
      </w:r>
      <w:r w:rsidRPr="00DA1DB1">
        <w:rPr>
          <w:rFonts w:ascii="Arial" w:eastAsia="Times New Roman" w:hAnsi="Arial" w:cs="Arial"/>
          <w:color w:val="000000"/>
          <w:lang w:val="es-ES" w:eastAsia="es-ES"/>
        </w:rPr>
        <w:t>bienes</w:t>
      </w:r>
      <w:r w:rsidRPr="007D7156">
        <w:rPr>
          <w:rFonts w:ascii="Arial" w:eastAsia="Times New Roman" w:hAnsi="Arial" w:cs="Arial"/>
          <w:color w:val="000000"/>
          <w:lang w:val="es-ES" w:eastAsia="es-ES"/>
        </w:rPr>
        <w:t xml:space="preserve"> a contratar descrito en la presente convocatoria, no se </w:t>
      </w:r>
      <w:r w:rsidRPr="00082A9D">
        <w:rPr>
          <w:rFonts w:ascii="Arial" w:eastAsia="Times New Roman" w:hAnsi="Arial" w:cs="Arial"/>
          <w:color w:val="000000"/>
          <w:lang w:val="es-ES" w:eastAsia="es-ES"/>
        </w:rPr>
        <w:t>aceptarán proposiciones conjuntas y en caso de los contratos estos tendrán alcance a</w:t>
      </w:r>
      <w:r w:rsidR="005F13E2">
        <w:rPr>
          <w:rFonts w:ascii="Arial" w:eastAsia="Times New Roman" w:hAnsi="Arial" w:cs="Arial"/>
          <w:color w:val="000000"/>
          <w:lang w:val="es-ES" w:eastAsia="es-ES"/>
        </w:rPr>
        <w:t xml:space="preserve"> </w:t>
      </w:r>
      <w:r w:rsidR="005F13E2" w:rsidRPr="00DA1DB1">
        <w:rPr>
          <w:rFonts w:ascii="Arial" w:eastAsia="Times New Roman" w:hAnsi="Arial" w:cs="Arial"/>
          <w:color w:val="000000"/>
          <w:lang w:val="es-ES" w:eastAsia="es-ES"/>
        </w:rPr>
        <w:t>un</w:t>
      </w:r>
      <w:r w:rsidRPr="00082A9D">
        <w:rPr>
          <w:rFonts w:ascii="Arial" w:eastAsia="Times New Roman" w:hAnsi="Arial" w:cs="Arial"/>
          <w:color w:val="000000"/>
          <w:lang w:val="es-ES" w:eastAsia="es-ES"/>
        </w:rPr>
        <w:t xml:space="preserve"> ejercicio fiscal.</w:t>
      </w:r>
    </w:p>
    <w:p w14:paraId="206117D7" w14:textId="090BB392" w:rsidR="00D1094C" w:rsidRPr="00551704" w:rsidRDefault="00D1094C" w:rsidP="00082A9D">
      <w:pPr>
        <w:tabs>
          <w:tab w:val="left" w:pos="-720"/>
          <w:tab w:val="left" w:pos="0"/>
        </w:tabs>
        <w:suppressAutoHyphens/>
        <w:spacing w:after="0" w:line="240" w:lineRule="auto"/>
        <w:ind w:left="709"/>
        <w:jc w:val="both"/>
        <w:rPr>
          <w:rFonts w:ascii="Arial" w:hAnsi="Arial" w:cs="Arial"/>
          <w:color w:val="000000"/>
          <w:sz w:val="16"/>
        </w:rPr>
      </w:pPr>
    </w:p>
    <w:p w14:paraId="405FBA64" w14:textId="77777777" w:rsidR="004877E2" w:rsidRPr="00692D4A" w:rsidRDefault="004877E2" w:rsidP="00692D4A">
      <w:pPr>
        <w:tabs>
          <w:tab w:val="left" w:pos="-720"/>
          <w:tab w:val="left" w:pos="0"/>
          <w:tab w:val="left" w:pos="284"/>
        </w:tabs>
        <w:suppressAutoHyphens/>
        <w:spacing w:after="0" w:line="240" w:lineRule="auto"/>
        <w:ind w:left="709"/>
        <w:jc w:val="both"/>
        <w:rPr>
          <w:rFonts w:ascii="Arial" w:eastAsia="Times New Roman" w:hAnsi="Arial" w:cs="Arial"/>
          <w:color w:val="000000"/>
          <w:lang w:val="es-ES" w:eastAsia="es-ES"/>
        </w:rPr>
      </w:pPr>
      <w:r w:rsidRPr="00692D4A">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1CF44795" w14:textId="77777777" w:rsidR="004877E2" w:rsidRPr="00223123" w:rsidRDefault="004877E2" w:rsidP="004877E2">
      <w:pPr>
        <w:pStyle w:val="Prrafodelista"/>
        <w:tabs>
          <w:tab w:val="left" w:pos="-720"/>
          <w:tab w:val="left" w:pos="0"/>
          <w:tab w:val="left" w:pos="284"/>
        </w:tabs>
        <w:suppressAutoHyphens/>
        <w:spacing w:after="0" w:line="240" w:lineRule="auto"/>
        <w:ind w:left="709"/>
        <w:jc w:val="both"/>
        <w:rPr>
          <w:rFonts w:ascii="Arial" w:eastAsia="Times New Roman" w:hAnsi="Arial" w:cs="Arial"/>
          <w:color w:val="000000"/>
          <w:sz w:val="20"/>
          <w:lang w:val="es-ES" w:eastAsia="es-ES"/>
        </w:rPr>
      </w:pPr>
    </w:p>
    <w:p w14:paraId="47DC5D5C" w14:textId="5BFE8DA7" w:rsidR="00D1094C" w:rsidRPr="00645EC9" w:rsidRDefault="00D1094C" w:rsidP="00A23DA2">
      <w:pPr>
        <w:pStyle w:val="Prrafodelista"/>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551704" w:rsidRDefault="00D1094C" w:rsidP="00A23DA2">
      <w:pPr>
        <w:pStyle w:val="Prrafodelista"/>
        <w:ind w:left="709" w:hanging="349"/>
        <w:rPr>
          <w:rFonts w:ascii="Arial" w:hAnsi="Arial" w:cs="Arial"/>
          <w:color w:val="000000"/>
          <w:sz w:val="4"/>
        </w:rPr>
      </w:pPr>
    </w:p>
    <w:p w14:paraId="0A55F96C" w14:textId="4BB8D2EE" w:rsidR="009B5E24" w:rsidRDefault="009B5E24"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003B3">
        <w:rPr>
          <w:rFonts w:ascii="Arial" w:hAnsi="Arial" w:cs="Arial"/>
          <w:color w:val="000000"/>
        </w:rPr>
        <w:t xml:space="preserve">De conformidad con el Artículo 43 de la Ley, el Acto de Presentación y Apertura de Proposiciones  se llevará acabo a las </w:t>
      </w:r>
      <w:r w:rsidR="001003B3" w:rsidRPr="001003B3">
        <w:rPr>
          <w:rFonts w:ascii="Arial" w:hAnsi="Arial" w:cs="Arial"/>
          <w:b/>
          <w:color w:val="000000"/>
        </w:rPr>
        <w:t>12</w:t>
      </w:r>
      <w:r w:rsidRPr="001003B3">
        <w:rPr>
          <w:rFonts w:ascii="Arial" w:hAnsi="Arial" w:cs="Arial"/>
          <w:b/>
          <w:color w:val="000000"/>
        </w:rPr>
        <w:t>:00 horas</w:t>
      </w:r>
      <w:r w:rsidRPr="001003B3">
        <w:rPr>
          <w:rFonts w:ascii="Arial" w:hAnsi="Arial" w:cs="Arial"/>
          <w:color w:val="000000"/>
        </w:rPr>
        <w:t xml:space="preserve">, del día </w:t>
      </w:r>
      <w:r w:rsidR="001003B3" w:rsidRPr="001003B3">
        <w:rPr>
          <w:rFonts w:ascii="Arial" w:hAnsi="Arial" w:cs="Arial"/>
          <w:b/>
          <w:color w:val="000000"/>
        </w:rPr>
        <w:t>29</w:t>
      </w:r>
      <w:r w:rsidRPr="001003B3">
        <w:rPr>
          <w:rFonts w:ascii="Arial" w:hAnsi="Arial" w:cs="Arial"/>
          <w:b/>
          <w:color w:val="000000"/>
        </w:rPr>
        <w:t xml:space="preserve"> de</w:t>
      </w:r>
      <w:r w:rsidR="00DA1DB1" w:rsidRPr="001003B3">
        <w:rPr>
          <w:rFonts w:ascii="Arial" w:hAnsi="Arial" w:cs="Arial"/>
          <w:b/>
          <w:color w:val="000000"/>
        </w:rPr>
        <w:t xml:space="preserve"> </w:t>
      </w:r>
      <w:r w:rsidR="001003B3" w:rsidRPr="001003B3">
        <w:rPr>
          <w:rFonts w:ascii="Arial" w:hAnsi="Arial" w:cs="Arial"/>
          <w:b/>
          <w:color w:val="000000"/>
        </w:rPr>
        <w:t>abril</w:t>
      </w:r>
      <w:r w:rsidRPr="001003B3">
        <w:rPr>
          <w:rFonts w:ascii="Arial" w:hAnsi="Arial" w:cs="Arial"/>
          <w:b/>
          <w:color w:val="000000"/>
        </w:rPr>
        <w:t xml:space="preserve"> 202</w:t>
      </w:r>
      <w:r w:rsidR="00E818DE" w:rsidRPr="001003B3">
        <w:rPr>
          <w:rFonts w:ascii="Arial" w:hAnsi="Arial" w:cs="Arial"/>
          <w:b/>
          <w:color w:val="000000"/>
        </w:rPr>
        <w:t>4</w:t>
      </w:r>
      <w:r w:rsidRPr="001003B3">
        <w:rPr>
          <w:rFonts w:ascii="Arial" w:hAnsi="Arial" w:cs="Arial"/>
          <w:b/>
          <w:color w:val="000000"/>
        </w:rPr>
        <w:t xml:space="preserve">, </w:t>
      </w:r>
      <w:r w:rsidRPr="001003B3">
        <w:rPr>
          <w:rFonts w:ascii="Arial" w:hAnsi="Arial" w:cs="Arial"/>
          <w:color w:val="000000"/>
        </w:rPr>
        <w:t>en la Sala de Juntas de la Dirección de Bienes y Suministros de la Subsecretaría de Administración de la Secretaría de Administración y Finanzas, el cual  será presidido por el Titular de la Dirección de Bienes y Suministros dependiente de la Subsecretaría de Administración y Finanzas, para dar f</w:t>
      </w:r>
      <w:r w:rsidR="007E39F0" w:rsidRPr="001003B3">
        <w:rPr>
          <w:rFonts w:ascii="Arial" w:hAnsi="Arial" w:cs="Arial"/>
          <w:color w:val="000000"/>
        </w:rPr>
        <w:t>e</w:t>
      </w:r>
      <w:r w:rsidRPr="001003B3">
        <w:rPr>
          <w:rFonts w:ascii="Arial" w:hAnsi="Arial" w:cs="Arial"/>
          <w:color w:val="000000"/>
        </w:rPr>
        <w:t xml:space="preserve"> de la legali</w:t>
      </w:r>
      <w:r>
        <w:rPr>
          <w:rFonts w:ascii="Arial" w:hAnsi="Arial" w:cs="Arial"/>
          <w:color w:val="000000"/>
        </w:rPr>
        <w:t xml:space="preserve">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551704" w:rsidRDefault="007E39F0" w:rsidP="007E39F0">
      <w:pPr>
        <w:pStyle w:val="Prrafodelista"/>
        <w:rPr>
          <w:rFonts w:ascii="Arial" w:hAnsi="Arial" w:cs="Arial"/>
          <w:color w:val="000000"/>
          <w:sz w:val="2"/>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551704" w:rsidRDefault="009B5E24" w:rsidP="009B5E24">
      <w:pPr>
        <w:pStyle w:val="Prrafodelista"/>
        <w:rPr>
          <w:rFonts w:ascii="Arial" w:hAnsi="Arial" w:cs="Arial"/>
          <w:color w:val="000000"/>
          <w:sz w:val="16"/>
        </w:rPr>
      </w:pPr>
    </w:p>
    <w:p w14:paraId="3D087BF4" w14:textId="2205C237"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w:t>
      </w:r>
      <w:r w:rsidR="00B51ED7">
        <w:rPr>
          <w:rFonts w:ascii="Arial" w:hAnsi="Arial" w:cs="Arial"/>
          <w:color w:val="000000"/>
        </w:rPr>
        <w:t xml:space="preserve"> </w:t>
      </w:r>
      <w:r>
        <w:rPr>
          <w:rFonts w:ascii="Arial" w:hAnsi="Arial" w:cs="Arial"/>
          <w:color w:val="000000"/>
        </w:rPr>
        <w:t xml:space="preserve">la </w:t>
      </w:r>
      <w:r w:rsidR="00DA1DB1" w:rsidRPr="00DA1DB1">
        <w:rPr>
          <w:rFonts w:ascii="Arial" w:hAnsi="Arial" w:cs="Arial"/>
          <w:color w:val="000000"/>
        </w:rPr>
        <w:t>Dirección de Bienes y Suministros y la Secretaría de Seguridad Pública</w:t>
      </w:r>
      <w:r>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551704" w:rsidRDefault="00D1094C" w:rsidP="00D1094C">
      <w:pPr>
        <w:pStyle w:val="Prrafodelista"/>
        <w:rPr>
          <w:rFonts w:ascii="Arial" w:hAnsi="Arial" w:cs="Arial"/>
          <w:color w:val="000000"/>
          <w:sz w:val="2"/>
        </w:rPr>
      </w:pPr>
    </w:p>
    <w:p w14:paraId="307D0BBE"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6F382B" w:rsidRDefault="00D1094C" w:rsidP="00D1094C">
      <w:pPr>
        <w:tabs>
          <w:tab w:val="left" w:pos="-720"/>
          <w:tab w:val="left" w:pos="0"/>
        </w:tabs>
        <w:suppressAutoHyphens/>
        <w:jc w:val="both"/>
        <w:rPr>
          <w:rFonts w:ascii="Arial" w:hAnsi="Arial" w:cs="Arial"/>
          <w:color w:val="000000"/>
          <w:sz w:val="2"/>
        </w:rPr>
      </w:pPr>
    </w:p>
    <w:p w14:paraId="3067C276" w14:textId="3B6D6487" w:rsidR="00D1094C" w:rsidRDefault="00DA1DB1"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La</w:t>
      </w:r>
      <w:r w:rsidR="007E39F0">
        <w:rPr>
          <w:rFonts w:ascii="Arial" w:hAnsi="Arial" w:cs="Arial"/>
          <w:color w:val="000000"/>
        </w:rPr>
        <w:t xml:space="preserve"> </w:t>
      </w:r>
      <w:r w:rsidRPr="006F382B">
        <w:rPr>
          <w:rFonts w:ascii="Arial" w:hAnsi="Arial" w:cs="Arial"/>
          <w:b/>
          <w:color w:val="000000"/>
        </w:rPr>
        <w:t>Dirección de Bienes y Suministros y la Secretaría de Seguridad Pública</w:t>
      </w:r>
      <w:r w:rsidR="00D1094C" w:rsidRPr="006F382B">
        <w:rPr>
          <w:rFonts w:ascii="Arial" w:hAnsi="Arial" w:cs="Arial"/>
          <w:color w:val="000000"/>
        </w:rPr>
        <w:t xml:space="preserve">, </w:t>
      </w:r>
      <w:r w:rsidR="00D1094C">
        <w:rPr>
          <w:rFonts w:ascii="Arial" w:hAnsi="Arial" w:cs="Arial"/>
          <w:color w:val="000000"/>
        </w:rPr>
        <w:t xml:space="preserve">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551704" w:rsidRDefault="00D1094C" w:rsidP="00D1094C">
      <w:pPr>
        <w:pStyle w:val="Prrafodelista"/>
        <w:rPr>
          <w:rFonts w:ascii="Arial" w:hAnsi="Arial" w:cs="Arial"/>
          <w:color w:val="000000"/>
          <w:sz w:val="2"/>
        </w:rPr>
      </w:pPr>
    </w:p>
    <w:p w14:paraId="57EFA21D" w14:textId="59FF7F0F" w:rsidR="00D1094C" w:rsidRPr="00C30126"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lastRenderedPageBreak/>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551704" w:rsidRDefault="00D1094C" w:rsidP="00D1094C">
      <w:pPr>
        <w:pStyle w:val="Prrafodelista"/>
        <w:rPr>
          <w:rFonts w:ascii="Arial" w:hAnsi="Arial" w:cs="Arial"/>
          <w:color w:val="000000"/>
          <w:sz w:val="2"/>
        </w:rPr>
      </w:pPr>
    </w:p>
    <w:p w14:paraId="52FC3FBC"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551704" w:rsidRDefault="00D1094C" w:rsidP="00A23DA2">
      <w:pPr>
        <w:pStyle w:val="Prrafodelista"/>
        <w:ind w:left="709"/>
        <w:rPr>
          <w:rFonts w:ascii="Arial" w:hAnsi="Arial" w:cs="Arial"/>
          <w:color w:val="000000"/>
          <w:sz w:val="4"/>
        </w:rPr>
      </w:pPr>
    </w:p>
    <w:p w14:paraId="739033D5" w14:textId="0D6AA859"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sidRPr="00DA1DB1">
        <w:rPr>
          <w:rFonts w:ascii="Arial" w:hAnsi="Arial" w:cs="Arial"/>
          <w:color w:val="000000"/>
        </w:rPr>
        <w:t>se deberá presentar en las oficinas de la Dirección de Bienes y Suministros a firmar</w:t>
      </w:r>
      <w:r>
        <w:rPr>
          <w:rFonts w:ascii="Arial" w:hAnsi="Arial" w:cs="Arial"/>
          <w:color w:val="000000"/>
        </w:rPr>
        <w:t xml:space="preserve">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551704" w:rsidRDefault="00D1094C" w:rsidP="00D1094C">
      <w:pPr>
        <w:pStyle w:val="Prrafodelista"/>
        <w:rPr>
          <w:rFonts w:ascii="Arial" w:hAnsi="Arial" w:cs="Arial"/>
          <w:color w:val="000000"/>
          <w:sz w:val="2"/>
        </w:rPr>
      </w:pPr>
    </w:p>
    <w:p w14:paraId="627AE3CA"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6F382B" w:rsidRDefault="00D1094C" w:rsidP="00D1094C">
      <w:pPr>
        <w:pStyle w:val="Prrafodelista"/>
        <w:rPr>
          <w:rFonts w:ascii="Arial" w:hAnsi="Arial" w:cs="Arial"/>
          <w:color w:val="000000"/>
          <w:sz w:val="4"/>
        </w:rPr>
      </w:pPr>
    </w:p>
    <w:p w14:paraId="4D88EB0C" w14:textId="1F86F0DC"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551704" w:rsidRDefault="00D1094C" w:rsidP="00A23DA2">
      <w:pPr>
        <w:pStyle w:val="Prrafodelista"/>
        <w:ind w:left="709"/>
        <w:rPr>
          <w:rFonts w:ascii="Arial" w:hAnsi="Arial" w:cs="Arial"/>
          <w:color w:val="000000"/>
          <w:sz w:val="2"/>
        </w:rPr>
      </w:pPr>
    </w:p>
    <w:p w14:paraId="65275CED" w14:textId="77777777" w:rsidR="00D1094C" w:rsidRPr="006F382B" w:rsidRDefault="00D1094C" w:rsidP="00A23DA2">
      <w:pPr>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6F382B">
        <w:rPr>
          <w:rFonts w:ascii="Arial" w:hAnsi="Arial" w:cs="Arial"/>
          <w:color w:val="000000"/>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6B44F455" w14:textId="77777777" w:rsidR="001C30A2" w:rsidRPr="00551704" w:rsidRDefault="001C30A2" w:rsidP="001C30A2">
      <w:pPr>
        <w:tabs>
          <w:tab w:val="left" w:pos="-720"/>
          <w:tab w:val="left" w:pos="0"/>
        </w:tabs>
        <w:suppressAutoHyphens/>
        <w:spacing w:after="0" w:line="240" w:lineRule="auto"/>
        <w:ind w:left="709"/>
        <w:jc w:val="both"/>
        <w:rPr>
          <w:rFonts w:ascii="Arial" w:hAnsi="Arial" w:cs="Arial"/>
          <w:color w:val="000000"/>
          <w:sz w:val="12"/>
          <w:highlight w:val="green"/>
        </w:rPr>
      </w:pPr>
    </w:p>
    <w:p w14:paraId="19B33794" w14:textId="77777777" w:rsidR="00B51ED7" w:rsidRPr="006F382B" w:rsidRDefault="00B51ED7" w:rsidP="001C30A2">
      <w:pPr>
        <w:tabs>
          <w:tab w:val="left" w:pos="-720"/>
          <w:tab w:val="left" w:pos="0"/>
        </w:tabs>
        <w:suppressAutoHyphens/>
        <w:spacing w:after="0" w:line="240" w:lineRule="auto"/>
        <w:ind w:left="709"/>
        <w:jc w:val="both"/>
        <w:rPr>
          <w:rFonts w:ascii="Arial" w:hAnsi="Arial" w:cs="Arial"/>
          <w:color w:val="000000"/>
          <w:sz w:val="6"/>
          <w:highlight w:val="green"/>
        </w:rPr>
      </w:pPr>
    </w:p>
    <w:p w14:paraId="5149547E" w14:textId="25D059D6" w:rsidR="001C30A2" w:rsidRDefault="001C30A2" w:rsidP="00223123">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3DB17489" w14:textId="77777777" w:rsidR="00223123" w:rsidRPr="00551704" w:rsidRDefault="00223123" w:rsidP="00223123">
      <w:pPr>
        <w:tabs>
          <w:tab w:val="left" w:pos="-720"/>
          <w:tab w:val="left" w:pos="0"/>
        </w:tabs>
        <w:suppressAutoHyphens/>
        <w:spacing w:after="0" w:line="240" w:lineRule="auto"/>
        <w:jc w:val="both"/>
        <w:rPr>
          <w:rFonts w:ascii="Arial" w:hAnsi="Arial" w:cs="Arial"/>
          <w:color w:val="000000"/>
          <w:sz w:val="18"/>
        </w:rPr>
      </w:pPr>
    </w:p>
    <w:p w14:paraId="76249127" w14:textId="77777777" w:rsidR="001C30A2" w:rsidRPr="006F382B" w:rsidRDefault="001C30A2" w:rsidP="001C30A2">
      <w:pPr>
        <w:pStyle w:val="Prrafodelista"/>
        <w:rPr>
          <w:rFonts w:ascii="Arial" w:hAnsi="Arial" w:cs="Arial"/>
          <w:color w:val="000000"/>
          <w:sz w:val="8"/>
          <w:highlight w:val="green"/>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AEBE06E" w14:textId="77777777" w:rsidR="00D1094C" w:rsidRPr="00551704" w:rsidRDefault="00D1094C" w:rsidP="00D1094C">
      <w:pPr>
        <w:pStyle w:val="Prrafodelista"/>
        <w:ind w:left="0"/>
        <w:rPr>
          <w:rFonts w:ascii="Arial" w:hAnsi="Arial" w:cs="Arial"/>
          <w:color w:val="000000"/>
          <w:sz w:val="2"/>
        </w:rPr>
      </w:pPr>
    </w:p>
    <w:p w14:paraId="160D9C54" w14:textId="75109C80"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1003B3">
        <w:rPr>
          <w:rFonts w:ascii="Arial" w:hAnsi="Arial" w:cs="Arial"/>
          <w:b/>
          <w:color w:val="000000"/>
        </w:rPr>
        <w:t>12</w:t>
      </w:r>
      <w:r>
        <w:rPr>
          <w:rFonts w:ascii="Arial" w:hAnsi="Arial" w:cs="Arial"/>
          <w:b/>
          <w:color w:val="000000"/>
        </w:rPr>
        <w:t>:00 horas</w:t>
      </w:r>
      <w:r>
        <w:rPr>
          <w:rFonts w:ascii="Arial" w:hAnsi="Arial" w:cs="Arial"/>
          <w:color w:val="000000"/>
        </w:rPr>
        <w:t xml:space="preserve"> del día </w:t>
      </w:r>
      <w:r w:rsidR="001003B3">
        <w:rPr>
          <w:rFonts w:ascii="Arial" w:hAnsi="Arial" w:cs="Arial"/>
          <w:b/>
          <w:color w:val="000000"/>
        </w:rPr>
        <w:t>29</w:t>
      </w:r>
      <w:r>
        <w:rPr>
          <w:rFonts w:ascii="Arial" w:hAnsi="Arial" w:cs="Arial"/>
          <w:b/>
          <w:color w:val="000000"/>
        </w:rPr>
        <w:t xml:space="preserve"> de</w:t>
      </w:r>
      <w:r w:rsidR="00DA1DB1">
        <w:rPr>
          <w:rFonts w:ascii="Arial" w:hAnsi="Arial" w:cs="Arial"/>
          <w:b/>
          <w:color w:val="000000"/>
        </w:rPr>
        <w:t xml:space="preserve"> </w:t>
      </w:r>
      <w:r w:rsidR="001003B3">
        <w:rPr>
          <w:rFonts w:ascii="Arial" w:hAnsi="Arial" w:cs="Arial"/>
          <w:b/>
          <w:color w:val="000000"/>
        </w:rPr>
        <w:t>abril</w:t>
      </w:r>
      <w:r>
        <w:rPr>
          <w:rFonts w:ascii="Arial" w:hAnsi="Arial" w:cs="Arial"/>
          <w:b/>
          <w:color w:val="000000"/>
        </w:rPr>
        <w:t xml:space="preserve"> 202</w:t>
      </w:r>
      <w:r w:rsidR="00E818DE">
        <w:rPr>
          <w:rFonts w:ascii="Arial" w:hAnsi="Arial" w:cs="Arial"/>
          <w:b/>
          <w:color w:val="000000"/>
        </w:rPr>
        <w:t>4</w:t>
      </w:r>
      <w:r>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551704" w:rsidRDefault="00D1094C" w:rsidP="00D1094C">
      <w:pPr>
        <w:pStyle w:val="Prrafodelista"/>
        <w:ind w:left="0"/>
        <w:jc w:val="both"/>
        <w:rPr>
          <w:rFonts w:ascii="Arial" w:hAnsi="Arial" w:cs="Arial"/>
          <w:color w:val="000000"/>
          <w:sz w:val="16"/>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0C330A">
        <w:rPr>
          <w:rFonts w:ascii="Arial" w:hAnsi="Arial" w:cs="Arial"/>
          <w:color w:val="000000"/>
        </w:rPr>
        <w:t>titular de l</w:t>
      </w:r>
      <w:r>
        <w:rPr>
          <w:rFonts w:ascii="Arial" w:hAnsi="Arial" w:cs="Arial"/>
          <w:color w:val="000000"/>
        </w:rPr>
        <w:t>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551704" w:rsidRDefault="00D1094C" w:rsidP="00D1094C">
      <w:pPr>
        <w:pStyle w:val="Prrafodelista"/>
        <w:ind w:left="0"/>
        <w:jc w:val="both"/>
        <w:rPr>
          <w:rFonts w:ascii="Arial" w:hAnsi="Arial" w:cs="Arial"/>
          <w:color w:val="000000"/>
          <w:sz w:val="16"/>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551704" w:rsidRDefault="00D1094C" w:rsidP="00D1094C">
      <w:pPr>
        <w:pStyle w:val="Prrafodelista"/>
        <w:ind w:left="0"/>
        <w:jc w:val="both"/>
        <w:rPr>
          <w:rFonts w:ascii="Arial" w:hAnsi="Arial" w:cs="Arial"/>
          <w:b/>
          <w:color w:val="000000"/>
          <w:sz w:val="2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6F382B" w:rsidRDefault="00D1094C" w:rsidP="00A72864">
      <w:pPr>
        <w:pStyle w:val="Prrafodelista"/>
        <w:spacing w:after="0"/>
        <w:ind w:left="426"/>
        <w:jc w:val="both"/>
        <w:rPr>
          <w:rFonts w:ascii="Arial" w:hAnsi="Arial" w:cs="Arial"/>
          <w:color w:val="000000"/>
          <w:sz w:val="16"/>
          <w:szCs w:val="16"/>
        </w:rPr>
      </w:pPr>
    </w:p>
    <w:p w14:paraId="09F2DF18" w14:textId="3DAE1283" w:rsidR="00D1094C" w:rsidRPr="006F382B" w:rsidRDefault="00D1094C" w:rsidP="00A72864">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En caso de ser p</w:t>
      </w:r>
      <w:r w:rsidRPr="006F382B">
        <w:rPr>
          <w:rFonts w:ascii="Arial" w:hAnsi="Arial" w:cs="Arial"/>
          <w:color w:val="000000"/>
        </w:rPr>
        <w:t xml:space="preserve">ersona moral, copia simple </w:t>
      </w:r>
      <w:r w:rsidR="00AA094B" w:rsidRPr="006F382B">
        <w:rPr>
          <w:rFonts w:ascii="Arial" w:hAnsi="Arial" w:cs="Arial"/>
          <w:color w:val="000000"/>
        </w:rPr>
        <w:t xml:space="preserve">legible </w:t>
      </w:r>
      <w:r w:rsidRPr="006F382B">
        <w:rPr>
          <w:rFonts w:ascii="Arial" w:hAnsi="Arial" w:cs="Arial"/>
          <w:color w:val="000000"/>
        </w:rPr>
        <w:t>del Acta Constitutiva de</w:t>
      </w:r>
      <w:r w:rsidR="00BD0F63" w:rsidRPr="006F382B">
        <w:rPr>
          <w:rFonts w:ascii="Arial" w:hAnsi="Arial" w:cs="Arial"/>
          <w:color w:val="000000"/>
        </w:rPr>
        <w:t>l licitante</w:t>
      </w:r>
      <w:r w:rsidRPr="006F382B">
        <w:rPr>
          <w:rFonts w:ascii="Arial" w:hAnsi="Arial" w:cs="Arial"/>
          <w:color w:val="000000"/>
        </w:rPr>
        <w:t xml:space="preserve"> </w:t>
      </w:r>
      <w:r w:rsidRPr="006F382B">
        <w:rPr>
          <w:rFonts w:ascii="Arial" w:hAnsi="Arial" w:cs="Arial"/>
          <w:b/>
          <w:color w:val="000000"/>
          <w:u w:val="single"/>
        </w:rPr>
        <w:t>subrayando</w:t>
      </w:r>
      <w:r w:rsidRPr="006F382B">
        <w:rPr>
          <w:rFonts w:ascii="Arial" w:hAnsi="Arial" w:cs="Arial"/>
          <w:color w:val="000000"/>
        </w:rPr>
        <w:t xml:space="preserve"> el nombre del administrador único apoderado de la empresa.</w:t>
      </w:r>
    </w:p>
    <w:p w14:paraId="45654035" w14:textId="77777777" w:rsidR="00D1094C" w:rsidRPr="006F382B" w:rsidRDefault="00D1094C" w:rsidP="00A72864">
      <w:pPr>
        <w:pStyle w:val="Prrafodelista"/>
        <w:spacing w:after="0"/>
        <w:ind w:left="709"/>
        <w:jc w:val="both"/>
        <w:rPr>
          <w:rFonts w:ascii="Arial" w:hAnsi="Arial" w:cs="Arial"/>
          <w:color w:val="000000"/>
          <w:sz w:val="16"/>
        </w:rPr>
      </w:pPr>
    </w:p>
    <w:p w14:paraId="585D1CB3" w14:textId="7B2D81E4" w:rsidR="00D1094C" w:rsidRPr="006F382B" w:rsidRDefault="00D1094C" w:rsidP="00A72864">
      <w:pPr>
        <w:pStyle w:val="Prrafodelista"/>
        <w:numPr>
          <w:ilvl w:val="0"/>
          <w:numId w:val="5"/>
        </w:numPr>
        <w:spacing w:after="0" w:line="240" w:lineRule="auto"/>
        <w:ind w:left="709" w:hanging="425"/>
        <w:contextualSpacing w:val="0"/>
        <w:jc w:val="both"/>
        <w:rPr>
          <w:rFonts w:ascii="Arial" w:hAnsi="Arial" w:cs="Arial"/>
          <w:color w:val="000000"/>
        </w:rPr>
      </w:pPr>
      <w:r w:rsidRPr="006F382B">
        <w:rPr>
          <w:rFonts w:ascii="Arial" w:hAnsi="Arial" w:cs="Arial"/>
          <w:color w:val="000000"/>
        </w:rPr>
        <w:t xml:space="preserve">Copia simple del poder legal de la </w:t>
      </w:r>
      <w:r w:rsidR="00A20661" w:rsidRPr="006F382B">
        <w:rPr>
          <w:rFonts w:ascii="Arial" w:hAnsi="Arial" w:cs="Arial"/>
          <w:color w:val="000000"/>
        </w:rPr>
        <w:t>persona que represente al licitante participante.</w:t>
      </w:r>
    </w:p>
    <w:p w14:paraId="062AE8DF" w14:textId="77777777" w:rsidR="003849F3" w:rsidRPr="006F382B" w:rsidRDefault="003849F3" w:rsidP="00A72864">
      <w:pPr>
        <w:pStyle w:val="Prrafodelista"/>
        <w:spacing w:after="0"/>
        <w:rPr>
          <w:rFonts w:ascii="Arial" w:hAnsi="Arial" w:cs="Arial"/>
          <w:color w:val="000000"/>
          <w:sz w:val="16"/>
        </w:rPr>
      </w:pPr>
    </w:p>
    <w:p w14:paraId="0722EB01" w14:textId="5C7E5FD4" w:rsidR="00D1094C" w:rsidRPr="006F382B" w:rsidRDefault="003849F3" w:rsidP="00A72864">
      <w:pPr>
        <w:pStyle w:val="Prrafodelista"/>
        <w:numPr>
          <w:ilvl w:val="0"/>
          <w:numId w:val="5"/>
        </w:numPr>
        <w:spacing w:after="0" w:line="240" w:lineRule="auto"/>
        <w:ind w:left="709" w:hanging="425"/>
        <w:contextualSpacing w:val="0"/>
        <w:jc w:val="both"/>
        <w:rPr>
          <w:rFonts w:ascii="Arial" w:hAnsi="Arial" w:cs="Arial"/>
          <w:color w:val="000000"/>
          <w:sz w:val="20"/>
        </w:rPr>
      </w:pPr>
      <w:r w:rsidRPr="006F382B">
        <w:rPr>
          <w:rFonts w:ascii="Arial" w:hAnsi="Arial" w:cs="Arial"/>
          <w:color w:val="000000"/>
          <w:lang w:val="es-ES_tradnl"/>
        </w:rPr>
        <w:t>C</w:t>
      </w:r>
      <w:r w:rsidR="008800A0" w:rsidRPr="006F382B">
        <w:rPr>
          <w:rFonts w:ascii="Arial" w:hAnsi="Arial" w:cs="Arial"/>
          <w:color w:val="000000"/>
          <w:lang w:val="es-ES_tradnl"/>
        </w:rPr>
        <w:t>opia de la escritura pública en la que conste el listado actual de los socios y/o accionistas de la empresa participante.</w:t>
      </w:r>
    </w:p>
    <w:p w14:paraId="7E32BA79" w14:textId="77777777" w:rsidR="008800A0" w:rsidRPr="006F382B" w:rsidRDefault="008800A0" w:rsidP="00A72864">
      <w:pPr>
        <w:pStyle w:val="Prrafodelista"/>
        <w:spacing w:after="0"/>
        <w:rPr>
          <w:rFonts w:ascii="Arial" w:hAnsi="Arial" w:cs="Arial"/>
          <w:color w:val="000000"/>
          <w:sz w:val="16"/>
        </w:rPr>
      </w:pPr>
    </w:p>
    <w:p w14:paraId="619E2F06" w14:textId="63AC3481" w:rsidR="00D1094C" w:rsidRPr="006F382B" w:rsidRDefault="00D1094C" w:rsidP="00A72864">
      <w:pPr>
        <w:pStyle w:val="Prrafodelista"/>
        <w:numPr>
          <w:ilvl w:val="0"/>
          <w:numId w:val="5"/>
        </w:numPr>
        <w:spacing w:after="0" w:line="240" w:lineRule="auto"/>
        <w:ind w:left="709" w:hanging="425"/>
        <w:contextualSpacing w:val="0"/>
        <w:jc w:val="both"/>
        <w:rPr>
          <w:rFonts w:ascii="Arial" w:hAnsi="Arial" w:cs="Arial"/>
          <w:color w:val="000000"/>
        </w:rPr>
      </w:pPr>
      <w:r w:rsidRPr="006F382B">
        <w:rPr>
          <w:rFonts w:ascii="Arial" w:hAnsi="Arial" w:cs="Arial"/>
          <w:color w:val="000000"/>
        </w:rPr>
        <w:t>Copia simple de Identificación del representante legal o propiet</w:t>
      </w:r>
      <w:r w:rsidR="00A20661" w:rsidRPr="006F382B">
        <w:rPr>
          <w:rFonts w:ascii="Arial" w:hAnsi="Arial" w:cs="Arial"/>
          <w:color w:val="000000"/>
        </w:rPr>
        <w:t>ario de la empresa participante.</w:t>
      </w:r>
    </w:p>
    <w:p w14:paraId="6D6AB361" w14:textId="77777777" w:rsidR="00A20661" w:rsidRPr="006F382B" w:rsidRDefault="00A20661" w:rsidP="00A72864">
      <w:pPr>
        <w:pStyle w:val="Prrafodelista"/>
        <w:spacing w:after="0"/>
        <w:rPr>
          <w:rFonts w:ascii="Arial" w:hAnsi="Arial" w:cs="Arial"/>
          <w:color w:val="000000"/>
          <w:sz w:val="16"/>
        </w:rPr>
      </w:pPr>
    </w:p>
    <w:p w14:paraId="606713AD" w14:textId="5DEDE241" w:rsidR="00A20661" w:rsidRDefault="0014731D" w:rsidP="00A72864">
      <w:pPr>
        <w:pStyle w:val="Prrafodelista"/>
        <w:numPr>
          <w:ilvl w:val="0"/>
          <w:numId w:val="5"/>
        </w:numPr>
        <w:spacing w:after="0" w:line="240" w:lineRule="auto"/>
        <w:ind w:left="709" w:hanging="425"/>
        <w:contextualSpacing w:val="0"/>
        <w:jc w:val="both"/>
        <w:rPr>
          <w:rFonts w:ascii="Arial" w:hAnsi="Arial" w:cs="Arial"/>
          <w:color w:val="000000"/>
        </w:rPr>
      </w:pPr>
      <w:r w:rsidRPr="006F382B">
        <w:rPr>
          <w:rFonts w:ascii="Arial" w:hAnsi="Arial" w:cs="Arial"/>
          <w:color w:val="000000"/>
        </w:rPr>
        <w:t>Documento vigent</w:t>
      </w:r>
      <w:r w:rsidRPr="00223123">
        <w:rPr>
          <w:rFonts w:ascii="Arial" w:hAnsi="Arial" w:cs="Arial"/>
          <w:color w:val="000000"/>
        </w:rPr>
        <w: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A72864" w:rsidRDefault="00A20661" w:rsidP="00A72864">
      <w:pPr>
        <w:pStyle w:val="Prrafodelista"/>
        <w:spacing w:after="0"/>
        <w:rPr>
          <w:rFonts w:ascii="Arial" w:hAnsi="Arial" w:cs="Arial"/>
          <w:color w:val="000000"/>
          <w:sz w:val="16"/>
        </w:rPr>
      </w:pPr>
    </w:p>
    <w:p w14:paraId="471978FE" w14:textId="4AF2723C" w:rsidR="00A20661" w:rsidRDefault="00A20661" w:rsidP="00A72864">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A72864" w:rsidRDefault="00A20661" w:rsidP="00A72864">
      <w:pPr>
        <w:pStyle w:val="Prrafodelista"/>
        <w:spacing w:after="0"/>
        <w:jc w:val="both"/>
        <w:rPr>
          <w:rFonts w:ascii="Arial" w:hAnsi="Arial" w:cs="Arial"/>
          <w:color w:val="000000"/>
          <w:sz w:val="16"/>
        </w:rPr>
      </w:pPr>
    </w:p>
    <w:p w14:paraId="75D17E71" w14:textId="528A8A25" w:rsidR="00EB62E1" w:rsidRPr="005C374D" w:rsidRDefault="002467AC" w:rsidP="00A72864">
      <w:pPr>
        <w:pStyle w:val="Prrafodelista"/>
        <w:numPr>
          <w:ilvl w:val="0"/>
          <w:numId w:val="5"/>
        </w:numPr>
        <w:spacing w:after="0"/>
        <w:ind w:left="709" w:hanging="425"/>
        <w:jc w:val="both"/>
        <w:rPr>
          <w:rFonts w:ascii="Arial" w:hAnsi="Arial" w:cs="Arial"/>
          <w:color w:val="000000"/>
        </w:rPr>
      </w:pPr>
      <w:r>
        <w:rPr>
          <w:rFonts w:ascii="Arial" w:hAnsi="Arial" w:cs="Arial"/>
        </w:rPr>
        <w:t xml:space="preserve"> </w:t>
      </w:r>
      <w:r w:rsidR="000D2C85" w:rsidRPr="000D2C85">
        <w:rPr>
          <w:rFonts w:ascii="Arial" w:hAnsi="Arial" w:cs="Arial"/>
        </w:rPr>
        <w:t>Documento</w:t>
      </w:r>
      <w:r w:rsidR="000D2C85" w:rsidRPr="000D2C85">
        <w:rPr>
          <w:rFonts w:ascii="Arial" w:eastAsia="Calibri" w:hAnsi="Arial" w:cs="Arial"/>
        </w:rPr>
        <w:t xml:space="preserve"> expedido por el Instituto Mexicano del Seguro Social (IMSS) sobre la opinión de cumplimiento de obligaciones fiscales en materia de seguridad social en sentido positivo; </w:t>
      </w:r>
      <w:r w:rsidR="00D040EE" w:rsidRPr="000D2C85">
        <w:rPr>
          <w:rFonts w:ascii="Arial" w:eastAsia="Calibri" w:hAnsi="Arial" w:cs="Arial"/>
        </w:rPr>
        <w:t xml:space="preserve">con una antigüedad no mayor a </w:t>
      </w:r>
      <w:r w:rsidR="00D040EE">
        <w:rPr>
          <w:rFonts w:ascii="Arial" w:eastAsia="Calibri" w:hAnsi="Arial" w:cs="Arial"/>
        </w:rPr>
        <w:t>15</w:t>
      </w:r>
      <w:r w:rsidR="00D040EE" w:rsidRPr="000D2C85">
        <w:rPr>
          <w:rFonts w:ascii="Arial" w:eastAsia="Calibri" w:hAnsi="Arial" w:cs="Arial"/>
        </w:rPr>
        <w:t xml:space="preserve"> (</w:t>
      </w:r>
      <w:r w:rsidR="00D040EE">
        <w:rPr>
          <w:rFonts w:ascii="Arial" w:eastAsia="Calibri" w:hAnsi="Arial" w:cs="Arial"/>
        </w:rPr>
        <w:t>quince</w:t>
      </w:r>
      <w:r w:rsidR="00D040EE" w:rsidRPr="000D2C85">
        <w:rPr>
          <w:rFonts w:ascii="Arial" w:eastAsia="Calibri" w:hAnsi="Arial" w:cs="Arial"/>
        </w:rPr>
        <w:t xml:space="preserve">) días </w:t>
      </w:r>
      <w:r w:rsidR="00D040EE">
        <w:rPr>
          <w:rFonts w:ascii="Arial" w:eastAsia="Calibri" w:hAnsi="Arial" w:cs="Arial"/>
        </w:rPr>
        <w:t>naturales</w:t>
      </w:r>
      <w:r w:rsidR="000D2C85" w:rsidRPr="000D2C85">
        <w:rPr>
          <w:rFonts w:ascii="Arial" w:eastAsia="Calibri" w:hAnsi="Arial" w:cs="Arial"/>
        </w:rPr>
        <w:t xml:space="preserve">, la cual deberá tramitar el licitante en la página </w:t>
      </w:r>
      <w:hyperlink r:id="rId14" w:history="1">
        <w:r w:rsidR="000D2C85" w:rsidRPr="000D2C85">
          <w:rPr>
            <w:rFonts w:ascii="Arial" w:eastAsia="Calibri" w:hAnsi="Arial" w:cs="Arial"/>
            <w:color w:val="0563C1"/>
            <w:u w:val="single"/>
          </w:rPr>
          <w:t>www.imss.gob.mx</w:t>
        </w:r>
      </w:hyperlink>
    </w:p>
    <w:p w14:paraId="40836B05" w14:textId="77777777" w:rsidR="005C374D" w:rsidRPr="006F382B" w:rsidRDefault="005C374D" w:rsidP="00A72864">
      <w:pPr>
        <w:pStyle w:val="Prrafodelista"/>
        <w:spacing w:after="0"/>
        <w:ind w:left="993"/>
        <w:jc w:val="both"/>
        <w:rPr>
          <w:rFonts w:ascii="Arial" w:hAnsi="Arial" w:cs="Arial"/>
          <w:color w:val="000000"/>
          <w:sz w:val="16"/>
        </w:rPr>
      </w:pPr>
    </w:p>
    <w:p w14:paraId="31D1316A" w14:textId="48B34760" w:rsidR="00A20661" w:rsidRDefault="00A20661" w:rsidP="00A72864">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A72864" w:rsidRDefault="00A20661" w:rsidP="00A72864">
      <w:pPr>
        <w:pStyle w:val="Prrafodelista"/>
        <w:spacing w:after="0"/>
        <w:rPr>
          <w:rFonts w:ascii="Arial" w:hAnsi="Arial" w:cs="Arial"/>
          <w:color w:val="000000"/>
          <w:sz w:val="16"/>
        </w:rPr>
      </w:pPr>
    </w:p>
    <w:p w14:paraId="3F45DA58" w14:textId="6A5ECF6A" w:rsidR="00A20661" w:rsidRDefault="00A20661" w:rsidP="00A72864">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20857F20" w14:textId="77777777" w:rsidR="008800A0" w:rsidRPr="00A72864" w:rsidRDefault="008800A0" w:rsidP="00A72864">
      <w:pPr>
        <w:pStyle w:val="Prrafodelista"/>
        <w:spacing w:after="0"/>
        <w:rPr>
          <w:rFonts w:ascii="Arial" w:hAnsi="Arial" w:cs="Arial"/>
          <w:color w:val="000000"/>
          <w:sz w:val="16"/>
        </w:rPr>
      </w:pPr>
    </w:p>
    <w:p w14:paraId="6BA127EC" w14:textId="1B0D5886" w:rsidR="008800A0" w:rsidRDefault="008800A0" w:rsidP="00A72864">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lastRenderedPageBreak/>
        <w:t>E</w:t>
      </w:r>
      <w:proofErr w:type="spellStart"/>
      <w:r w:rsidRPr="008800A0">
        <w:rPr>
          <w:rFonts w:ascii="Arial" w:hAnsi="Arial" w:cs="Arial"/>
          <w:color w:val="000000"/>
          <w:lang w:val="es-ES_tradnl"/>
        </w:rPr>
        <w:t>scrito</w:t>
      </w:r>
      <w:proofErr w:type="spellEnd"/>
      <w:r w:rsidRPr="008800A0">
        <w:rPr>
          <w:rFonts w:ascii="Arial" w:hAnsi="Arial" w:cs="Arial"/>
          <w:color w:val="000000"/>
          <w:lang w:val="es-ES_tradnl"/>
        </w:rPr>
        <w:t xml:space="preserve"> bajo protesta de decir verdad, de no encontrarse en el supuesto de conflicto de interés según lo previsto en el artículo 49 fracción IX de la Ley General de Responsabilidades Administrativas; es decir, que la persona física o moral participante, o los socios, accionistas o representantes, en el caso de ésta última,  no desempeñan empleo, cargo o comisión en el servicio público o, en su caso, que a pesar de desempeñarlo, con la formalización del contrato correspondiente no se presenta un conflicto de interés</w:t>
      </w:r>
      <w:r w:rsidR="00AB0E67">
        <w:rPr>
          <w:rFonts w:ascii="Arial" w:hAnsi="Arial" w:cs="Arial"/>
          <w:color w:val="000000"/>
          <w:lang w:val="es-ES_tradnl"/>
        </w:rPr>
        <w:t>.</w:t>
      </w:r>
    </w:p>
    <w:p w14:paraId="1B651B2D" w14:textId="77777777" w:rsidR="00D1094C" w:rsidRPr="00A72864" w:rsidRDefault="00D1094C" w:rsidP="00A72864">
      <w:pPr>
        <w:pStyle w:val="Prrafodelista"/>
        <w:spacing w:after="0"/>
        <w:rPr>
          <w:rFonts w:ascii="Arial" w:hAnsi="Arial" w:cs="Arial"/>
          <w:color w:val="000000"/>
          <w:sz w:val="16"/>
        </w:rPr>
      </w:pPr>
    </w:p>
    <w:p w14:paraId="26A902C1" w14:textId="1E6B0A0F" w:rsidR="00D1094C" w:rsidRDefault="00A20661" w:rsidP="00A72864">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r w:rsidR="00E974B1">
        <w:rPr>
          <w:rFonts w:ascii="Arial" w:hAnsi="Arial" w:cs="Arial"/>
          <w:color w:val="000000"/>
        </w:rPr>
        <w:t xml:space="preserve"> La omisión de este documento no será motivo de descalificación.</w:t>
      </w:r>
    </w:p>
    <w:p w14:paraId="3CDB6CC5" w14:textId="77777777" w:rsidR="00D1094C" w:rsidRPr="00551704" w:rsidRDefault="00D1094C" w:rsidP="00A72864">
      <w:pPr>
        <w:pStyle w:val="Prrafodelista"/>
        <w:spacing w:after="0"/>
        <w:rPr>
          <w:rFonts w:ascii="Arial" w:hAnsi="Arial" w:cs="Arial"/>
          <w:b/>
          <w:color w:val="000000"/>
          <w:sz w:val="8"/>
          <w:szCs w:val="16"/>
        </w:rPr>
      </w:pPr>
    </w:p>
    <w:p w14:paraId="48E8A66B" w14:textId="77777777" w:rsidR="00D1094C" w:rsidRPr="006565F6" w:rsidRDefault="00D1094C" w:rsidP="00D1094C">
      <w:pPr>
        <w:pStyle w:val="Prrafodelista"/>
        <w:rPr>
          <w:rFonts w:ascii="Arial" w:hAnsi="Arial" w:cs="Arial"/>
          <w:b/>
          <w:color w:val="000000"/>
          <w:sz w:val="12"/>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551704" w:rsidRDefault="00D1094C" w:rsidP="00A72864">
      <w:pPr>
        <w:pStyle w:val="Prrafodelista"/>
        <w:spacing w:after="0"/>
        <w:rPr>
          <w:rFonts w:ascii="Arial" w:hAnsi="Arial" w:cs="Arial"/>
          <w:b/>
          <w:color w:val="000000"/>
          <w:sz w:val="12"/>
          <w:szCs w:val="20"/>
        </w:rPr>
      </w:pPr>
    </w:p>
    <w:p w14:paraId="57AB9270" w14:textId="447286F9" w:rsidR="00D1094C" w:rsidRPr="00DA1DB1" w:rsidRDefault="00D1094C" w:rsidP="00A72864">
      <w:pPr>
        <w:pStyle w:val="Prrafodelista"/>
        <w:numPr>
          <w:ilvl w:val="0"/>
          <w:numId w:val="6"/>
        </w:numPr>
        <w:spacing w:after="0" w:line="240" w:lineRule="auto"/>
        <w:ind w:left="709" w:hanging="425"/>
        <w:contextualSpacing w:val="0"/>
        <w:jc w:val="both"/>
        <w:rPr>
          <w:rFonts w:ascii="Arial" w:hAnsi="Arial" w:cs="Arial"/>
          <w:color w:val="000000"/>
        </w:rPr>
      </w:pPr>
      <w:r>
        <w:rPr>
          <w:rFonts w:ascii="Arial" w:hAnsi="Arial" w:cs="Arial"/>
          <w:color w:val="000000"/>
        </w:rPr>
        <w:t xml:space="preserve">Descripción y especificaciones de </w:t>
      </w:r>
      <w:r w:rsidRPr="00DA1DB1">
        <w:rPr>
          <w:rFonts w:ascii="Arial" w:hAnsi="Arial" w:cs="Arial"/>
          <w:color w:val="000000"/>
        </w:rPr>
        <w:t>las partidas qu</w:t>
      </w:r>
      <w:r>
        <w:rPr>
          <w:rFonts w:ascii="Arial" w:hAnsi="Arial" w:cs="Arial"/>
          <w:color w:val="000000"/>
        </w:rPr>
        <w:t>e se solici</w:t>
      </w:r>
      <w:r w:rsidRPr="00DA1DB1">
        <w:rPr>
          <w:rFonts w:ascii="Arial" w:hAnsi="Arial" w:cs="Arial"/>
          <w:color w:val="000000"/>
        </w:rPr>
        <w:t>tan, en</w:t>
      </w:r>
      <w:r>
        <w:rPr>
          <w:rFonts w:ascii="Arial" w:hAnsi="Arial" w:cs="Arial"/>
          <w:color w:val="000000"/>
        </w:rPr>
        <w:t xml:space="preserve"> </w:t>
      </w:r>
      <w:r w:rsidR="009F16C8" w:rsidRPr="009F16C8">
        <w:rPr>
          <w:rFonts w:ascii="Arial" w:hAnsi="Arial" w:cs="Arial"/>
          <w:color w:val="000000"/>
        </w:rPr>
        <w:t>papel membretado de la empresa participante</w:t>
      </w:r>
      <w:r w:rsidR="009F16C8" w:rsidRPr="009F16C8">
        <w:rPr>
          <w:rFonts w:ascii="Arial" w:eastAsia="Times New Roman" w:hAnsi="Arial" w:cs="Arial"/>
          <w:color w:val="202124"/>
          <w:lang w:eastAsia="es-MX"/>
        </w:rPr>
        <w:t xml:space="preserve">, </w:t>
      </w:r>
      <w:r>
        <w:rPr>
          <w:rFonts w:ascii="Arial" w:hAnsi="Arial" w:cs="Arial"/>
          <w:color w:val="000000"/>
        </w:rPr>
        <w:t xml:space="preserve">en idioma español, y firmadas por el propietario o representante legal que tenga poder notarial para tal efecto, </w:t>
      </w:r>
      <w:r w:rsidR="00C62339">
        <w:rPr>
          <w:rFonts w:ascii="Arial" w:hAnsi="Arial" w:cs="Arial"/>
          <w:color w:val="000000"/>
        </w:rPr>
        <w:t xml:space="preserve">sin tachaduras o enmendaduras, </w:t>
      </w:r>
      <w:r>
        <w:rPr>
          <w:rFonts w:ascii="Arial" w:hAnsi="Arial" w:cs="Arial"/>
          <w:color w:val="000000"/>
        </w:rPr>
        <w:t>señalan</w:t>
      </w:r>
      <w:r w:rsidRPr="00DA1DB1">
        <w:rPr>
          <w:rFonts w:ascii="Arial" w:hAnsi="Arial" w:cs="Arial"/>
          <w:color w:val="000000"/>
        </w:rPr>
        <w:t>do 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DA1DB1" w:rsidRDefault="00D1094C" w:rsidP="00A72864">
      <w:pPr>
        <w:pStyle w:val="Prrafodelista"/>
        <w:spacing w:after="0"/>
        <w:ind w:left="709"/>
        <w:jc w:val="both"/>
        <w:rPr>
          <w:rFonts w:ascii="Arial" w:hAnsi="Arial" w:cs="Arial"/>
          <w:color w:val="000000"/>
          <w:sz w:val="16"/>
          <w:szCs w:val="16"/>
        </w:rPr>
      </w:pPr>
    </w:p>
    <w:p w14:paraId="4A3C9F88" w14:textId="049980DA" w:rsidR="00D1094C" w:rsidRPr="00DA1DB1" w:rsidRDefault="00D1094C" w:rsidP="00DA1DB1">
      <w:pPr>
        <w:pStyle w:val="Prrafodelista"/>
        <w:numPr>
          <w:ilvl w:val="0"/>
          <w:numId w:val="6"/>
        </w:numPr>
        <w:shd w:val="clear" w:color="auto" w:fill="FFFFFF" w:themeFill="background1"/>
        <w:spacing w:after="0" w:line="240" w:lineRule="auto"/>
        <w:ind w:left="709" w:hanging="425"/>
        <w:contextualSpacing w:val="0"/>
        <w:jc w:val="both"/>
        <w:rPr>
          <w:rFonts w:ascii="Arial" w:hAnsi="Arial" w:cs="Arial"/>
          <w:color w:val="000000"/>
        </w:rPr>
      </w:pPr>
      <w:r w:rsidRPr="00DA1DB1">
        <w:rPr>
          <w:rFonts w:ascii="Arial" w:hAnsi="Arial" w:cs="Arial"/>
          <w:color w:val="000000"/>
        </w:rPr>
        <w:t xml:space="preserve">Los </w:t>
      </w:r>
      <w:r w:rsidR="003B0826" w:rsidRPr="00DA1DB1">
        <w:rPr>
          <w:rFonts w:ascii="Arial" w:hAnsi="Arial" w:cs="Arial"/>
          <w:color w:val="000000"/>
        </w:rPr>
        <w:t>licitantes</w:t>
      </w:r>
      <w:r w:rsidRPr="00DA1DB1">
        <w:rPr>
          <w:rFonts w:ascii="Arial" w:hAnsi="Arial" w:cs="Arial"/>
          <w:color w:val="000000"/>
        </w:rPr>
        <w:t xml:space="preserve"> deberán presentar folletos y/o catálogos de los bienes ofertados que se solicitan, éstos deberán ser nuevos, sin estar usados, y en perfecto estado de acuerdo a las especificaciones del Anexo I del Punto 1 de la presente convocatoria. </w:t>
      </w:r>
    </w:p>
    <w:p w14:paraId="12C10C2F" w14:textId="77777777" w:rsidR="00D1094C" w:rsidRPr="00DA1DB1" w:rsidRDefault="00D1094C" w:rsidP="00A72864">
      <w:pPr>
        <w:pStyle w:val="Prrafodelista"/>
        <w:spacing w:after="0"/>
        <w:rPr>
          <w:rFonts w:ascii="Arial" w:hAnsi="Arial" w:cs="Arial"/>
          <w:color w:val="000000"/>
          <w:sz w:val="16"/>
        </w:rPr>
      </w:pPr>
    </w:p>
    <w:p w14:paraId="3FF116C1" w14:textId="77777777" w:rsidR="00A22A3F" w:rsidRPr="00DA1DB1" w:rsidRDefault="00D1094C" w:rsidP="00A72864">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DA1DB1">
        <w:rPr>
          <w:rFonts w:ascii="Arial" w:hAnsi="Arial" w:cs="Arial"/>
          <w:color w:val="000000"/>
        </w:rPr>
        <w:t>Escrito</w:t>
      </w:r>
      <w:r w:rsidR="00AA094B" w:rsidRPr="00DA1DB1">
        <w:rPr>
          <w:rFonts w:ascii="Arial" w:hAnsi="Arial" w:cs="Arial"/>
          <w:color w:val="000000"/>
        </w:rPr>
        <w:t xml:space="preserve"> </w:t>
      </w:r>
      <w:r w:rsidRPr="00DA1DB1">
        <w:rPr>
          <w:rFonts w:ascii="Arial" w:hAnsi="Arial" w:cs="Arial"/>
          <w:color w:val="000000"/>
        </w:rPr>
        <w:t xml:space="preserve">de garantía de los bienes de acuerdo al </w:t>
      </w:r>
      <w:r w:rsidRPr="00DA1DB1">
        <w:rPr>
          <w:rFonts w:ascii="Arial" w:hAnsi="Arial" w:cs="Arial"/>
          <w:b/>
          <w:color w:val="000000"/>
        </w:rPr>
        <w:t>Punto No. 9</w:t>
      </w:r>
      <w:r w:rsidRPr="00DA1DB1">
        <w:rPr>
          <w:rFonts w:ascii="Arial" w:hAnsi="Arial" w:cs="Arial"/>
          <w:color w:val="000000"/>
        </w:rPr>
        <w:t xml:space="preserve"> de la presente convocatoria firmado por el propietario o representante legal que tenga poder notarial para tal efecto.</w:t>
      </w:r>
      <w:r w:rsidR="00AA094B" w:rsidRPr="00DA1DB1">
        <w:rPr>
          <w:rFonts w:ascii="Arial" w:hAnsi="Arial" w:cs="Arial"/>
          <w:color w:val="000000"/>
        </w:rPr>
        <w:t xml:space="preserve"> En papel membretado de la empresa participante</w:t>
      </w:r>
      <w:r w:rsidR="00A22A3F" w:rsidRPr="00DA1DB1">
        <w:rPr>
          <w:rFonts w:ascii="Arial" w:hAnsi="Arial" w:cs="Arial"/>
          <w:color w:val="000000"/>
        </w:rPr>
        <w:t>.</w:t>
      </w:r>
    </w:p>
    <w:p w14:paraId="165D29E9" w14:textId="77777777" w:rsidR="00814C65" w:rsidRPr="00DA1DB1" w:rsidRDefault="00814C65" w:rsidP="00814C65">
      <w:pPr>
        <w:pStyle w:val="Prrafodelista"/>
        <w:spacing w:after="0" w:line="240" w:lineRule="auto"/>
        <w:ind w:left="709"/>
        <w:contextualSpacing w:val="0"/>
        <w:jc w:val="both"/>
        <w:rPr>
          <w:rFonts w:ascii="Arial" w:hAnsi="Arial" w:cs="Arial"/>
          <w:color w:val="000000"/>
          <w:sz w:val="16"/>
          <w:szCs w:val="16"/>
        </w:rPr>
      </w:pPr>
    </w:p>
    <w:p w14:paraId="15DB3A6D" w14:textId="1BE58F59" w:rsidR="00814C65" w:rsidRPr="00A22A3F" w:rsidRDefault="00814C65" w:rsidP="00A72864">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DA1DB1">
        <w:rPr>
          <w:rFonts w:ascii="Arial" w:hAnsi="Arial" w:cs="Arial"/>
          <w:color w:val="000000"/>
        </w:rPr>
        <w:t>Presentar 2 (dos) archivos electrónicos (USB, CD, DVD), de la documentación contenida en este apartado: (Punto 4, Incisos A Documentación Legal y de Identificación en formato “.</w:t>
      </w:r>
      <w:proofErr w:type="spellStart"/>
      <w:r w:rsidRPr="00DA1DB1">
        <w:rPr>
          <w:rFonts w:ascii="Arial" w:hAnsi="Arial" w:cs="Arial"/>
          <w:color w:val="000000"/>
        </w:rPr>
        <w:t>pdf</w:t>
      </w:r>
      <w:proofErr w:type="spellEnd"/>
      <w:r w:rsidRPr="00DA1DB1">
        <w:rPr>
          <w:rFonts w:ascii="Arial" w:hAnsi="Arial" w:cs="Arial"/>
          <w:color w:val="000000"/>
        </w:rPr>
        <w:t>”, B y C, Propuesta Técnica y Económica” en formato “</w:t>
      </w:r>
      <w:proofErr w:type="spellStart"/>
      <w:r w:rsidRPr="00DA1DB1">
        <w:rPr>
          <w:rFonts w:ascii="Arial" w:hAnsi="Arial" w:cs="Arial"/>
          <w:color w:val="000000"/>
        </w:rPr>
        <w:t>doc</w:t>
      </w:r>
      <w:proofErr w:type="spellEnd"/>
      <w:r w:rsidRPr="00DA1DB1">
        <w:rPr>
          <w:rFonts w:ascii="Arial" w:hAnsi="Arial" w:cs="Arial"/>
          <w:color w:val="000000"/>
        </w:rPr>
        <w:t>” y “</w:t>
      </w:r>
      <w:proofErr w:type="spellStart"/>
      <w:r w:rsidRPr="00DA1DB1">
        <w:rPr>
          <w:rFonts w:ascii="Arial" w:hAnsi="Arial" w:cs="Arial"/>
          <w:color w:val="000000"/>
        </w:rPr>
        <w:t>pdf</w:t>
      </w:r>
      <w:proofErr w:type="spellEnd"/>
      <w:r w:rsidRPr="00DA1DB1">
        <w:rPr>
          <w:rFonts w:ascii="Arial" w:hAnsi="Arial" w:cs="Arial"/>
          <w:color w:val="000000"/>
        </w:rPr>
        <w:t>”), los cuales se</w:t>
      </w:r>
      <w:r w:rsidRPr="00AE75C6">
        <w:rPr>
          <w:rFonts w:ascii="Arial" w:hAnsi="Arial" w:cs="Arial"/>
          <w:color w:val="000000"/>
        </w:rPr>
        <w:t xml:space="preserve">rán para el área usuaria y el jurídico. </w:t>
      </w:r>
      <w:r>
        <w:rPr>
          <w:rFonts w:ascii="Arial" w:hAnsi="Arial" w:cs="Arial"/>
          <w:color w:val="000000"/>
        </w:rPr>
        <w:t>La omisión de este archivo electrónico, no será motivo de descalificación.</w:t>
      </w:r>
    </w:p>
    <w:p w14:paraId="4855C871" w14:textId="3D534E56" w:rsidR="00D1094C" w:rsidRPr="00551704" w:rsidRDefault="00A22A3F" w:rsidP="00A72864">
      <w:pPr>
        <w:spacing w:after="0" w:line="240" w:lineRule="auto"/>
        <w:jc w:val="both"/>
        <w:rPr>
          <w:rFonts w:ascii="Arial" w:hAnsi="Arial" w:cs="Arial"/>
          <w:color w:val="000000"/>
          <w:sz w:val="16"/>
          <w:szCs w:val="16"/>
        </w:rPr>
      </w:pPr>
      <w:r w:rsidRPr="00A22A3F">
        <w:rPr>
          <w:rFonts w:ascii="Arial" w:hAnsi="Arial" w:cs="Arial"/>
          <w:color w:val="000000"/>
          <w:sz w:val="16"/>
          <w:szCs w:val="16"/>
        </w:rPr>
        <w:t xml:space="preserve"> </w:t>
      </w:r>
    </w:p>
    <w:p w14:paraId="38D80AD2" w14:textId="427CBE54" w:rsidR="00D1094C" w:rsidRPr="00DF79C5" w:rsidRDefault="00D1094C" w:rsidP="00814C65">
      <w:pPr>
        <w:pStyle w:val="Prrafodelista"/>
        <w:spacing w:after="0" w:line="240" w:lineRule="auto"/>
        <w:ind w:left="709"/>
        <w:contextualSpacing w:val="0"/>
        <w:jc w:val="both"/>
        <w:rPr>
          <w:rFonts w:ascii="Arial" w:hAnsi="Arial" w:cs="Arial"/>
          <w:color w:val="000000"/>
          <w:sz w:val="8"/>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DF79C5" w:rsidRDefault="00D1094C" w:rsidP="00D1094C">
      <w:pPr>
        <w:pStyle w:val="Prrafodelista"/>
        <w:ind w:left="0"/>
        <w:jc w:val="both"/>
        <w:rPr>
          <w:rFonts w:ascii="Arial" w:hAnsi="Arial" w:cs="Arial"/>
          <w:color w:val="000000"/>
          <w:sz w:val="16"/>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551704" w:rsidRDefault="00D1094C" w:rsidP="00D1094C">
      <w:pPr>
        <w:pStyle w:val="Prrafodelista"/>
        <w:ind w:left="0"/>
        <w:jc w:val="both"/>
        <w:rPr>
          <w:rFonts w:ascii="Arial" w:hAnsi="Arial" w:cs="Arial"/>
          <w:color w:val="000000"/>
          <w:sz w:val="16"/>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DF79C5" w:rsidRDefault="001248AC" w:rsidP="006074AE">
      <w:pPr>
        <w:pStyle w:val="Prrafodelista"/>
        <w:ind w:left="0"/>
        <w:jc w:val="both"/>
        <w:rPr>
          <w:rFonts w:ascii="Arial" w:hAnsi="Arial" w:cs="Arial"/>
          <w:color w:val="000000"/>
          <w:sz w:val="16"/>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lastRenderedPageBreak/>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7FA92EE6" w14:textId="77777777" w:rsidR="007A6206" w:rsidRPr="00551704" w:rsidRDefault="007A6206" w:rsidP="00D1094C">
      <w:pPr>
        <w:pStyle w:val="Prrafodelista"/>
        <w:ind w:left="0"/>
        <w:jc w:val="both"/>
        <w:rPr>
          <w:rFonts w:ascii="Arial" w:hAnsi="Arial" w:cs="Arial"/>
          <w:color w:val="000000"/>
          <w:sz w:val="10"/>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551704" w:rsidRDefault="00D1094C" w:rsidP="00D1094C">
      <w:pPr>
        <w:pStyle w:val="Texto"/>
        <w:spacing w:after="0" w:line="240" w:lineRule="auto"/>
        <w:ind w:firstLine="0"/>
        <w:rPr>
          <w:color w:val="000000"/>
          <w:sz w:val="14"/>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551704" w:rsidRDefault="00D1094C" w:rsidP="00D1094C">
      <w:pPr>
        <w:tabs>
          <w:tab w:val="left" w:pos="-720"/>
        </w:tabs>
        <w:suppressAutoHyphens/>
        <w:jc w:val="both"/>
        <w:rPr>
          <w:rFonts w:ascii="Arial" w:hAnsi="Arial" w:cs="Arial"/>
          <w:bCs/>
          <w:spacing w:val="-2"/>
          <w:sz w:val="2"/>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DF79C5" w:rsidRDefault="00D1094C" w:rsidP="00D1094C">
      <w:pPr>
        <w:pStyle w:val="Texto"/>
        <w:spacing w:after="0" w:line="240" w:lineRule="auto"/>
        <w:ind w:firstLine="0"/>
        <w:rPr>
          <w:color w:val="000000"/>
          <w:sz w:val="2"/>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551704" w:rsidRDefault="00D1094C" w:rsidP="00D1094C">
      <w:pPr>
        <w:pStyle w:val="Texto"/>
        <w:spacing w:after="0" w:line="240" w:lineRule="auto"/>
        <w:ind w:firstLine="0"/>
        <w:rPr>
          <w:color w:val="000000"/>
          <w:sz w:val="12"/>
          <w:szCs w:val="22"/>
        </w:rPr>
      </w:pP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DF79C5" w:rsidRDefault="00D1094C" w:rsidP="00D1094C">
      <w:pPr>
        <w:pStyle w:val="Texto"/>
        <w:spacing w:after="0" w:line="240" w:lineRule="auto"/>
        <w:ind w:firstLine="0"/>
        <w:rPr>
          <w:color w:val="000000"/>
          <w:sz w:val="12"/>
          <w:szCs w:val="22"/>
        </w:rPr>
      </w:pPr>
    </w:p>
    <w:p w14:paraId="7C71A227" w14:textId="77777777" w:rsidR="00A72864" w:rsidRPr="00A72864" w:rsidRDefault="00A72864" w:rsidP="00A72864">
      <w:pPr>
        <w:pStyle w:val="Texto"/>
        <w:spacing w:after="0" w:line="240" w:lineRule="auto"/>
        <w:ind w:left="1080" w:firstLine="0"/>
        <w:rPr>
          <w:color w:val="000000"/>
          <w:sz w:val="2"/>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DF79C5" w:rsidRDefault="00D1094C" w:rsidP="00D1094C">
      <w:pPr>
        <w:ind w:left="709" w:hanging="709"/>
        <w:jc w:val="both"/>
        <w:rPr>
          <w:rFonts w:ascii="Arial" w:hAnsi="Arial" w:cs="Arial"/>
          <w:bCs/>
          <w:sz w:val="2"/>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551704" w:rsidRDefault="00D1094C" w:rsidP="00A72864">
      <w:pPr>
        <w:spacing w:after="0"/>
        <w:ind w:left="1429"/>
        <w:jc w:val="both"/>
        <w:rPr>
          <w:rFonts w:ascii="Arial" w:hAnsi="Arial" w:cs="Arial"/>
          <w:bCs/>
          <w:sz w:val="14"/>
        </w:rPr>
      </w:pPr>
    </w:p>
    <w:p w14:paraId="45076BFF"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551704" w:rsidRDefault="00D1094C" w:rsidP="00A72864">
      <w:pPr>
        <w:pStyle w:val="Prrafodelista"/>
        <w:spacing w:after="0"/>
        <w:rPr>
          <w:rFonts w:ascii="Arial" w:hAnsi="Arial" w:cs="Arial"/>
          <w:bCs/>
          <w:sz w:val="12"/>
        </w:rPr>
      </w:pPr>
    </w:p>
    <w:p w14:paraId="138D451B"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DF79C5" w:rsidRDefault="00D1094C" w:rsidP="00A72864">
      <w:pPr>
        <w:pStyle w:val="Prrafodelista"/>
        <w:spacing w:after="0"/>
        <w:rPr>
          <w:rFonts w:ascii="Arial" w:hAnsi="Arial" w:cs="Arial"/>
          <w:bCs/>
          <w:sz w:val="12"/>
        </w:rPr>
      </w:pPr>
    </w:p>
    <w:p w14:paraId="0FE4555B"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A72864" w:rsidRDefault="00D1094C" w:rsidP="00A72864">
      <w:pPr>
        <w:pStyle w:val="Prrafodelista"/>
        <w:spacing w:after="0"/>
        <w:rPr>
          <w:rFonts w:ascii="Arial" w:hAnsi="Arial" w:cs="Arial"/>
          <w:bCs/>
          <w:sz w:val="16"/>
        </w:rPr>
      </w:pPr>
    </w:p>
    <w:p w14:paraId="54AF323E"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 xml:space="preserve">La condición de que la vigencia de la fianza deberá quedar abierta para permitir que cumpla con su objetivo, de forma tal que no podrá establecerse o estipularse plazo alguno que limite su vigencia, lo cual no debe confundirse con el plazo para </w:t>
      </w:r>
      <w:r>
        <w:rPr>
          <w:rFonts w:ascii="Arial" w:hAnsi="Arial" w:cs="Arial"/>
          <w:bCs/>
        </w:rPr>
        <w:lastRenderedPageBreak/>
        <w:t>el cumplimiento de las obligaciones previstas en el contrato y actos administrativos.</w:t>
      </w:r>
    </w:p>
    <w:p w14:paraId="60275494" w14:textId="77777777" w:rsidR="00D1094C" w:rsidRPr="00551704" w:rsidRDefault="00D1094C" w:rsidP="00A72864">
      <w:pPr>
        <w:pStyle w:val="Prrafodelista"/>
        <w:spacing w:after="0"/>
        <w:rPr>
          <w:rFonts w:ascii="Arial" w:hAnsi="Arial" w:cs="Arial"/>
          <w:bCs/>
          <w:sz w:val="14"/>
        </w:rPr>
      </w:pPr>
    </w:p>
    <w:p w14:paraId="5FE4ACB9"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551704" w:rsidRDefault="00D1094C" w:rsidP="00A72864">
      <w:pPr>
        <w:pStyle w:val="Prrafodelista"/>
        <w:spacing w:after="0"/>
        <w:rPr>
          <w:rFonts w:ascii="Arial" w:hAnsi="Arial" w:cs="Arial"/>
          <w:bCs/>
          <w:sz w:val="14"/>
        </w:rPr>
      </w:pPr>
    </w:p>
    <w:p w14:paraId="708F6C3E"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551704" w:rsidRDefault="00D1094C" w:rsidP="00A72864">
      <w:pPr>
        <w:pStyle w:val="Prrafodelista"/>
        <w:spacing w:after="0"/>
        <w:rPr>
          <w:rFonts w:ascii="Arial" w:hAnsi="Arial" w:cs="Arial"/>
          <w:bCs/>
          <w:sz w:val="14"/>
        </w:rPr>
      </w:pPr>
    </w:p>
    <w:p w14:paraId="18A97E7D"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551704" w:rsidRDefault="00D1094C" w:rsidP="00A72864">
      <w:pPr>
        <w:pStyle w:val="Prrafodelista"/>
        <w:spacing w:after="0"/>
        <w:rPr>
          <w:rFonts w:ascii="Arial" w:hAnsi="Arial" w:cs="Arial"/>
          <w:bCs/>
          <w:sz w:val="14"/>
        </w:rPr>
      </w:pPr>
    </w:p>
    <w:p w14:paraId="247A3270"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A72864" w:rsidRDefault="00D1094C" w:rsidP="00A72864">
      <w:pPr>
        <w:pStyle w:val="Prrafodelista"/>
        <w:spacing w:after="0"/>
        <w:rPr>
          <w:rFonts w:ascii="Arial" w:hAnsi="Arial" w:cs="Arial"/>
          <w:bCs/>
          <w:sz w:val="16"/>
        </w:rPr>
      </w:pPr>
    </w:p>
    <w:p w14:paraId="7E1ACA48"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551704" w:rsidRDefault="00D1094C" w:rsidP="00A72864">
      <w:pPr>
        <w:pStyle w:val="Prrafodelista"/>
        <w:spacing w:after="0"/>
        <w:rPr>
          <w:rFonts w:ascii="Arial" w:hAnsi="Arial" w:cs="Arial"/>
          <w:bCs/>
          <w:sz w:val="20"/>
        </w:rPr>
      </w:pPr>
    </w:p>
    <w:p w14:paraId="77C0BB60" w14:textId="56DBEF18" w:rsidR="00D1094C" w:rsidRDefault="00D1094C" w:rsidP="00D1094C">
      <w:pPr>
        <w:jc w:val="both"/>
        <w:rPr>
          <w:rFonts w:ascii="Arial" w:hAnsi="Arial" w:cs="Arial"/>
          <w:bCs/>
        </w:rPr>
      </w:pPr>
      <w:r>
        <w:rPr>
          <w:rFonts w:ascii="Arial" w:hAnsi="Arial" w:cs="Arial"/>
          <w:bCs/>
        </w:rPr>
        <w:t xml:space="preserve">Las garantías </w:t>
      </w:r>
      <w:r w:rsidRPr="00DA1DB1">
        <w:rPr>
          <w:rFonts w:ascii="Arial" w:hAnsi="Arial" w:cs="Arial"/>
          <w:bCs/>
        </w:rPr>
        <w:t>de cumplimiento debe</w:t>
      </w:r>
      <w:r>
        <w:rPr>
          <w:rFonts w:ascii="Arial" w:hAnsi="Arial" w:cs="Arial"/>
          <w:bCs/>
        </w:rPr>
        <w:t xml:space="preserve">rán presentarse dentro de los </w:t>
      </w:r>
      <w:r>
        <w:rPr>
          <w:rFonts w:ascii="Arial" w:hAnsi="Arial" w:cs="Arial"/>
          <w:b/>
          <w:bCs/>
        </w:rPr>
        <w:t>10 días hábiles</w:t>
      </w:r>
      <w:r>
        <w:rPr>
          <w:rFonts w:ascii="Arial" w:hAnsi="Arial" w:cs="Arial"/>
          <w:bCs/>
        </w:rPr>
        <w:t xml:space="preserve"> posteriores a la firma el contrato </w:t>
      </w:r>
      <w:r w:rsidRPr="00DA1DB1">
        <w:rPr>
          <w:rFonts w:ascii="Arial" w:hAnsi="Arial" w:cs="Arial"/>
          <w:bCs/>
        </w:rPr>
        <w:t>en la Dirección de Bienes y Suministros de la Subsecretaría de Administración, ubicada en el primer piso de la Unidad Administrativa, sita en Avenida Insurgentes s/n entre las calles  José Aguilar Barraza y 16 de Septiembre, Colonia Centro Sinaloa, C.P. 80129, Culiacán</w:t>
      </w:r>
      <w:r>
        <w:rPr>
          <w:rFonts w:ascii="Arial" w:hAnsi="Arial" w:cs="Arial"/>
          <w:bCs/>
        </w:rPr>
        <w:t>, Sinaloa,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65370A6E" w14:textId="77777777" w:rsidR="00D1094C" w:rsidRPr="00DF79C5" w:rsidRDefault="00D1094C" w:rsidP="00D1094C">
      <w:pPr>
        <w:jc w:val="both"/>
        <w:rPr>
          <w:rFonts w:ascii="Arial" w:hAnsi="Arial" w:cs="Arial"/>
          <w:bCs/>
          <w:sz w:val="2"/>
        </w:rPr>
      </w:pPr>
    </w:p>
    <w:p w14:paraId="0B981387" w14:textId="77777777" w:rsidR="00D1094C" w:rsidRDefault="00D1094C" w:rsidP="00D1094C">
      <w:pPr>
        <w:jc w:val="both"/>
        <w:rPr>
          <w:rFonts w:ascii="Arial" w:hAnsi="Arial" w:cs="Arial"/>
          <w:b/>
          <w:bCs/>
        </w:rPr>
      </w:pPr>
      <w:r>
        <w:rPr>
          <w:rFonts w:ascii="Arial" w:hAnsi="Arial" w:cs="Arial"/>
          <w:b/>
          <w:bCs/>
        </w:rPr>
        <w:t>7.- Plazo de Entrega.</w:t>
      </w:r>
    </w:p>
    <w:p w14:paraId="5BFEF1B4" w14:textId="130AC2AE" w:rsidR="00DA1DB1" w:rsidRPr="008756F0" w:rsidRDefault="008756F0" w:rsidP="008756F0">
      <w:pPr>
        <w:tabs>
          <w:tab w:val="left" w:pos="-720"/>
        </w:tabs>
        <w:suppressAutoHyphens/>
        <w:jc w:val="both"/>
        <w:rPr>
          <w:rFonts w:ascii="Arial" w:hAnsi="Arial" w:cs="Arial"/>
          <w:spacing w:val="-2"/>
          <w:lang w:val="es-ES_tradnl"/>
        </w:rPr>
      </w:pPr>
      <w:r>
        <w:rPr>
          <w:rFonts w:ascii="Arial" w:hAnsi="Arial" w:cs="Arial"/>
          <w:spacing w:val="-2"/>
          <w:lang w:val="es-ES_tradnl"/>
        </w:rPr>
        <w:t>Los bienes objeto de esta convocatoria a la Licitación deberá entregarse:</w:t>
      </w:r>
    </w:p>
    <w:p w14:paraId="4F3D6BCA" w14:textId="775B64DE" w:rsidR="00DA1DB1" w:rsidRPr="008756F0" w:rsidRDefault="00DA1DB1" w:rsidP="008756F0">
      <w:pPr>
        <w:pStyle w:val="Prrafodelista"/>
        <w:numPr>
          <w:ilvl w:val="0"/>
          <w:numId w:val="17"/>
        </w:numPr>
        <w:tabs>
          <w:tab w:val="left" w:pos="-720"/>
        </w:tabs>
        <w:suppressAutoHyphens/>
        <w:jc w:val="both"/>
        <w:rPr>
          <w:rFonts w:ascii="Arial" w:hAnsi="Arial" w:cs="Arial"/>
          <w:spacing w:val="-2"/>
          <w:sz w:val="12"/>
          <w:lang w:val="es-ES_tradnl"/>
        </w:rPr>
      </w:pPr>
      <w:r w:rsidRPr="008756F0">
        <w:rPr>
          <w:rFonts w:ascii="Arial" w:hAnsi="Arial" w:cs="Arial"/>
          <w:b/>
          <w:spacing w:val="-2"/>
          <w:lang w:val="es-ES_tradnl"/>
        </w:rPr>
        <w:t>Partida 1</w:t>
      </w:r>
      <w:r w:rsidR="007D261A">
        <w:rPr>
          <w:rFonts w:ascii="Arial" w:hAnsi="Arial" w:cs="Arial"/>
          <w:b/>
          <w:spacing w:val="-2"/>
          <w:lang w:val="es-ES_tradnl"/>
        </w:rPr>
        <w:t xml:space="preserve"> y 2</w:t>
      </w:r>
      <w:r w:rsidRPr="008756F0">
        <w:rPr>
          <w:rFonts w:ascii="Arial" w:hAnsi="Arial" w:cs="Arial"/>
          <w:spacing w:val="-2"/>
          <w:lang w:val="es-ES_tradnl"/>
        </w:rPr>
        <w:t>: 30 días naturales a partir del día siguiente a la firma del contrato.</w:t>
      </w:r>
    </w:p>
    <w:p w14:paraId="25BAD4CE" w14:textId="025D0AF7" w:rsidR="00DA1DB1" w:rsidRPr="008756F0" w:rsidRDefault="00DA1DB1" w:rsidP="008756F0">
      <w:pPr>
        <w:pStyle w:val="Prrafodelista"/>
        <w:tabs>
          <w:tab w:val="left" w:pos="-720"/>
        </w:tabs>
        <w:suppressAutoHyphens/>
        <w:jc w:val="both"/>
        <w:rPr>
          <w:rFonts w:ascii="Arial" w:hAnsi="Arial" w:cs="Arial"/>
          <w:spacing w:val="-2"/>
          <w:sz w:val="12"/>
          <w:lang w:val="es-ES_tradnl"/>
        </w:rPr>
      </w:pPr>
      <w:r w:rsidRPr="008756F0">
        <w:rPr>
          <w:rFonts w:ascii="Arial" w:hAnsi="Arial" w:cs="Arial"/>
          <w:spacing w:val="-2"/>
          <w:sz w:val="12"/>
          <w:lang w:val="es-ES_tradnl"/>
        </w:rPr>
        <w:t xml:space="preserve"> </w:t>
      </w:r>
    </w:p>
    <w:p w14:paraId="24D0093B" w14:textId="22B86B3E" w:rsidR="00DA1DB1" w:rsidRPr="008756F0" w:rsidRDefault="00DA1DB1" w:rsidP="008756F0">
      <w:pPr>
        <w:pStyle w:val="Prrafodelista"/>
        <w:numPr>
          <w:ilvl w:val="0"/>
          <w:numId w:val="17"/>
        </w:numPr>
        <w:tabs>
          <w:tab w:val="left" w:pos="-720"/>
        </w:tabs>
        <w:suppressAutoHyphens/>
        <w:jc w:val="both"/>
        <w:rPr>
          <w:rFonts w:ascii="Arial" w:hAnsi="Arial" w:cs="Arial"/>
          <w:bCs/>
        </w:rPr>
      </w:pPr>
      <w:r w:rsidRPr="008756F0">
        <w:rPr>
          <w:rFonts w:ascii="Arial" w:hAnsi="Arial" w:cs="Arial"/>
          <w:b/>
          <w:spacing w:val="-2"/>
          <w:lang w:val="es-ES_tradnl"/>
        </w:rPr>
        <w:t xml:space="preserve">Partida </w:t>
      </w:r>
      <w:r w:rsidR="007D261A">
        <w:rPr>
          <w:rFonts w:ascii="Arial" w:hAnsi="Arial" w:cs="Arial"/>
          <w:b/>
          <w:spacing w:val="-2"/>
          <w:lang w:val="es-ES_tradnl"/>
        </w:rPr>
        <w:t>3</w:t>
      </w:r>
      <w:r w:rsidR="008756F0" w:rsidRPr="008756F0">
        <w:rPr>
          <w:rFonts w:ascii="Arial" w:hAnsi="Arial" w:cs="Arial"/>
          <w:spacing w:val="-2"/>
          <w:lang w:val="es-ES_tradnl"/>
        </w:rPr>
        <w:t>: 30 días naturales después de la firma del contrato.</w:t>
      </w:r>
      <w:r w:rsidR="008756F0" w:rsidRPr="008756F0">
        <w:rPr>
          <w:rFonts w:ascii="Arial" w:hAnsi="Arial" w:cs="Arial"/>
          <w:bCs/>
        </w:rPr>
        <w:t xml:space="preserve"> </w:t>
      </w:r>
    </w:p>
    <w:p w14:paraId="68B05E96" w14:textId="6D5281D7"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51299D2C" w14:textId="77777777" w:rsidR="00D1094C" w:rsidRPr="00551704" w:rsidRDefault="00D1094C" w:rsidP="00D1094C">
      <w:pPr>
        <w:tabs>
          <w:tab w:val="left" w:pos="-720"/>
        </w:tabs>
        <w:suppressAutoHyphens/>
        <w:jc w:val="both"/>
        <w:rPr>
          <w:rFonts w:ascii="Arial" w:hAnsi="Arial" w:cs="Arial"/>
          <w:spacing w:val="-2"/>
          <w:sz w:val="2"/>
          <w:lang w:val="es-ES_tradnl"/>
        </w:rPr>
      </w:pP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lastRenderedPageBreak/>
        <w:t>8.- Lugar de Entrega.</w:t>
      </w:r>
    </w:p>
    <w:p w14:paraId="213BB58D" w14:textId="1EA496C2" w:rsidR="00D1094C" w:rsidRDefault="00AD0E46"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lugar de entrega será: </w:t>
      </w:r>
      <w:r w:rsidR="00D1094C">
        <w:rPr>
          <w:rFonts w:ascii="Arial" w:hAnsi="Arial" w:cs="Arial"/>
          <w:spacing w:val="-2"/>
          <w:lang w:val="es-ES_tradnl"/>
        </w:rPr>
        <w:t xml:space="preserve"> </w:t>
      </w:r>
    </w:p>
    <w:p w14:paraId="2B3842D4" w14:textId="17F6F2F5" w:rsidR="008756F0" w:rsidRDefault="008756F0" w:rsidP="008756F0">
      <w:pPr>
        <w:pStyle w:val="Prrafodelista"/>
        <w:numPr>
          <w:ilvl w:val="0"/>
          <w:numId w:val="18"/>
        </w:numPr>
        <w:tabs>
          <w:tab w:val="left" w:pos="-720"/>
        </w:tabs>
        <w:suppressAutoHyphens/>
        <w:jc w:val="both"/>
        <w:rPr>
          <w:rFonts w:ascii="Arial" w:hAnsi="Arial" w:cs="Arial"/>
          <w:spacing w:val="-2"/>
          <w:lang w:val="es-ES_tradnl"/>
        </w:rPr>
      </w:pPr>
      <w:r>
        <w:rPr>
          <w:rFonts w:ascii="Arial" w:hAnsi="Arial" w:cs="Arial"/>
          <w:b/>
          <w:spacing w:val="-2"/>
          <w:lang w:val="es-ES_tradnl"/>
        </w:rPr>
        <w:t>Partida 1</w:t>
      </w:r>
      <w:r w:rsidR="007D261A">
        <w:rPr>
          <w:rFonts w:ascii="Arial" w:hAnsi="Arial" w:cs="Arial"/>
          <w:b/>
          <w:spacing w:val="-2"/>
          <w:lang w:val="es-ES_tradnl"/>
        </w:rPr>
        <w:t xml:space="preserve"> y 2</w:t>
      </w:r>
      <w:r>
        <w:rPr>
          <w:rFonts w:ascii="Arial" w:hAnsi="Arial" w:cs="Arial"/>
          <w:b/>
          <w:spacing w:val="-2"/>
          <w:lang w:val="es-ES_tradnl"/>
        </w:rPr>
        <w:t xml:space="preserve">: </w:t>
      </w:r>
      <w:r>
        <w:rPr>
          <w:rFonts w:ascii="Arial" w:hAnsi="Arial" w:cs="Arial"/>
          <w:spacing w:val="-2"/>
          <w:lang w:val="es-ES_tradnl"/>
        </w:rPr>
        <w:t>En la Unidad Administrativa (Palacio de Gobierno) ubicada en Insurgentes s/n col. Centro Sinaloa, C.P. 80129, Culiacán, Sinaloa.</w:t>
      </w:r>
    </w:p>
    <w:p w14:paraId="164285F9" w14:textId="77777777" w:rsidR="008756F0" w:rsidRPr="008756F0" w:rsidRDefault="008756F0" w:rsidP="008756F0">
      <w:pPr>
        <w:pStyle w:val="Prrafodelista"/>
        <w:tabs>
          <w:tab w:val="left" w:pos="-720"/>
        </w:tabs>
        <w:suppressAutoHyphens/>
        <w:jc w:val="both"/>
        <w:rPr>
          <w:rFonts w:ascii="Arial" w:hAnsi="Arial" w:cs="Arial"/>
          <w:b/>
          <w:spacing w:val="-2"/>
          <w:sz w:val="12"/>
          <w:lang w:val="es-ES_tradnl"/>
        </w:rPr>
      </w:pPr>
    </w:p>
    <w:p w14:paraId="111A5696" w14:textId="016843D8" w:rsidR="008756F0" w:rsidRDefault="008756F0" w:rsidP="008756F0">
      <w:pPr>
        <w:pStyle w:val="Prrafodelista"/>
        <w:numPr>
          <w:ilvl w:val="0"/>
          <w:numId w:val="18"/>
        </w:numPr>
        <w:tabs>
          <w:tab w:val="left" w:pos="-720"/>
        </w:tabs>
        <w:suppressAutoHyphens/>
        <w:jc w:val="both"/>
        <w:rPr>
          <w:rFonts w:ascii="Arial" w:hAnsi="Arial" w:cs="Arial"/>
          <w:spacing w:val="-2"/>
          <w:lang w:val="es-ES_tradnl"/>
        </w:rPr>
      </w:pPr>
      <w:r>
        <w:rPr>
          <w:rFonts w:ascii="Arial" w:hAnsi="Arial" w:cs="Arial"/>
          <w:b/>
          <w:spacing w:val="-2"/>
          <w:lang w:val="es-ES_tradnl"/>
        </w:rPr>
        <w:t xml:space="preserve">Partida </w:t>
      </w:r>
      <w:r w:rsidR="007D261A">
        <w:rPr>
          <w:rFonts w:ascii="Arial" w:hAnsi="Arial" w:cs="Arial"/>
          <w:b/>
          <w:spacing w:val="-2"/>
          <w:lang w:val="es-ES_tradnl"/>
        </w:rPr>
        <w:t>3</w:t>
      </w:r>
      <w:r>
        <w:rPr>
          <w:rFonts w:ascii="Arial" w:hAnsi="Arial" w:cs="Arial"/>
          <w:b/>
          <w:spacing w:val="-2"/>
          <w:lang w:val="es-ES_tradnl"/>
        </w:rPr>
        <w:t xml:space="preserve">: </w:t>
      </w:r>
      <w:r w:rsidRPr="008756F0">
        <w:rPr>
          <w:rFonts w:ascii="Arial" w:hAnsi="Arial" w:cs="Arial"/>
          <w:spacing w:val="-2"/>
          <w:lang w:val="es-ES_tradnl"/>
        </w:rPr>
        <w:t>E</w:t>
      </w:r>
      <w:r w:rsidRPr="008756F0">
        <w:rPr>
          <w:rFonts w:ascii="Arial" w:eastAsia="Calibri" w:hAnsi="Arial" w:cs="Arial"/>
          <w:spacing w:val="-2"/>
          <w:lang w:val="es-ES_tradnl"/>
        </w:rPr>
        <w:t xml:space="preserve">n el Complejo Estatal de Seguridad Pública, Carretera Culiacán </w:t>
      </w:r>
      <w:proofErr w:type="spellStart"/>
      <w:r w:rsidRPr="008756F0">
        <w:rPr>
          <w:rFonts w:ascii="Arial" w:eastAsia="Calibri" w:hAnsi="Arial" w:cs="Arial"/>
          <w:spacing w:val="-2"/>
          <w:lang w:val="es-ES_tradnl"/>
        </w:rPr>
        <w:t>Navolato</w:t>
      </w:r>
      <w:proofErr w:type="spellEnd"/>
      <w:r w:rsidRPr="008756F0">
        <w:rPr>
          <w:rFonts w:ascii="Arial" w:eastAsia="Calibri" w:hAnsi="Arial" w:cs="Arial"/>
          <w:spacing w:val="-2"/>
          <w:lang w:val="es-ES_tradnl"/>
        </w:rPr>
        <w:t xml:space="preserve"> km. 12.5, Colonia Altos de </w:t>
      </w:r>
      <w:proofErr w:type="spellStart"/>
      <w:r w:rsidRPr="008756F0">
        <w:rPr>
          <w:rFonts w:ascii="Arial" w:eastAsia="Calibri" w:hAnsi="Arial" w:cs="Arial"/>
          <w:spacing w:val="-2"/>
          <w:lang w:val="es-ES_tradnl"/>
        </w:rPr>
        <w:t>Bachigualato</w:t>
      </w:r>
      <w:proofErr w:type="spellEnd"/>
      <w:r w:rsidRPr="008756F0">
        <w:rPr>
          <w:rFonts w:ascii="Arial" w:eastAsia="Calibri" w:hAnsi="Arial" w:cs="Arial"/>
          <w:spacing w:val="-2"/>
          <w:lang w:val="es-ES_tradnl"/>
        </w:rPr>
        <w:t>, en la ciudad de Culiacán, Sinaloa</w:t>
      </w:r>
    </w:p>
    <w:p w14:paraId="33210910" w14:textId="05F3C2E1"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que los bienes</w:t>
      </w:r>
      <w:r w:rsidR="00115BB6">
        <w:rPr>
          <w:rFonts w:ascii="Arial" w:hAnsi="Arial" w:cs="Arial"/>
          <w:spacing w:val="-2"/>
          <w:lang w:val="es-ES_tradnl"/>
        </w:rPr>
        <w:t xml:space="preserve"> y/o ser</w:t>
      </w:r>
      <w:r w:rsidR="00AD0E46">
        <w:rPr>
          <w:rFonts w:ascii="Arial" w:hAnsi="Arial" w:cs="Arial"/>
          <w:spacing w:val="-2"/>
          <w:lang w:val="es-ES_tradnl"/>
        </w:rPr>
        <w:t>vi</w:t>
      </w:r>
      <w:r w:rsidR="00115BB6">
        <w:rPr>
          <w:rFonts w:ascii="Arial" w:hAnsi="Arial" w:cs="Arial"/>
          <w:spacing w:val="-2"/>
          <w:lang w:val="es-ES_tradnl"/>
        </w:rPr>
        <w:t>ci</w:t>
      </w:r>
      <w:r w:rsidR="00AD0E46">
        <w:rPr>
          <w:rFonts w:ascii="Arial" w:hAnsi="Arial" w:cs="Arial"/>
          <w:spacing w:val="-2"/>
          <w:lang w:val="es-ES_tradnl"/>
        </w:rPr>
        <w:t>os</w:t>
      </w:r>
      <w:r>
        <w:rPr>
          <w:rFonts w:ascii="Arial" w:hAnsi="Arial" w:cs="Arial"/>
          <w:spacing w:val="-2"/>
          <w:lang w:val="es-ES_tradnl"/>
        </w:rPr>
        <w:t xml:space="preserve">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 xml:space="preserve">r las dependencias del </w:t>
      </w:r>
      <w:r w:rsidR="00AD0E46" w:rsidRPr="008756F0">
        <w:rPr>
          <w:rFonts w:ascii="Arial" w:hAnsi="Arial" w:cs="Arial"/>
          <w:spacing w:val="-2"/>
          <w:lang w:val="es-ES_tradnl"/>
        </w:rPr>
        <w:t xml:space="preserve">área </w:t>
      </w:r>
      <w:r w:rsidRPr="008756F0">
        <w:rPr>
          <w:rFonts w:ascii="Arial" w:hAnsi="Arial" w:cs="Arial"/>
          <w:spacing w:val="-2"/>
          <w:lang w:val="es-ES_tradnl"/>
        </w:rPr>
        <w:t xml:space="preserve"> </w:t>
      </w:r>
      <w:r w:rsidR="008756F0" w:rsidRPr="008756F0">
        <w:rPr>
          <w:rFonts w:ascii="Arial" w:hAnsi="Arial" w:cs="Arial"/>
          <w:spacing w:val="-2"/>
          <w:lang w:val="es-ES_tradnl"/>
        </w:rPr>
        <w:t>solicitante</w:t>
      </w:r>
      <w:r w:rsidRPr="008756F0">
        <w:rPr>
          <w:rFonts w:ascii="Arial" w:hAnsi="Arial" w:cs="Arial"/>
          <w:spacing w:val="-2"/>
          <w:lang w:val="es-ES_tradnl"/>
        </w:rPr>
        <w:t>.</w:t>
      </w:r>
    </w:p>
    <w:p w14:paraId="715CDAD2" w14:textId="59E44492"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w:t>
      </w:r>
      <w:r w:rsidR="00AD0E46">
        <w:rPr>
          <w:rFonts w:ascii="Arial" w:hAnsi="Arial" w:cs="Arial"/>
          <w:spacing w:val="-2"/>
          <w:lang w:val="es-ES_tradnl"/>
        </w:rPr>
        <w:t>licitante adjudicado</w:t>
      </w:r>
      <w:r>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25278343" w14:textId="77777777" w:rsidR="00AD0E46" w:rsidRPr="00DF79C5" w:rsidRDefault="00AD0E46" w:rsidP="00D1094C">
      <w:pPr>
        <w:tabs>
          <w:tab w:val="left" w:pos="-720"/>
          <w:tab w:val="left" w:pos="0"/>
        </w:tabs>
        <w:suppressAutoHyphens/>
        <w:jc w:val="both"/>
        <w:rPr>
          <w:rFonts w:ascii="Arial" w:hAnsi="Arial" w:cs="Arial"/>
          <w:spacing w:val="-2"/>
          <w:sz w:val="2"/>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108F95D4" w14:textId="3D7D1728" w:rsidR="006A59B9" w:rsidRDefault="006A59B9" w:rsidP="006A59B9">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periodo mínimo de garantía será de 3 (tres) años o 60,000 kilómetros (lo que ocurra primero),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27DDBB0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w:t>
      </w:r>
      <w:bookmarkStart w:id="0" w:name="_GoBack"/>
      <w:bookmarkEnd w:id="0"/>
      <w:r>
        <w:rPr>
          <w:rFonts w:ascii="Arial" w:hAnsi="Arial" w:cs="Arial"/>
          <w:spacing w:val="-2"/>
          <w:lang w:val="es-ES_tradnl"/>
        </w:rPr>
        <w:t xml:space="preserve">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5F586704" w:rsidR="00D1094C" w:rsidRPr="003A68B6"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3422C3A5" w14:textId="77777777" w:rsidR="00D1094C" w:rsidRPr="00551704" w:rsidRDefault="00D1094C" w:rsidP="00D1094C">
      <w:pPr>
        <w:tabs>
          <w:tab w:val="left" w:pos="-720"/>
          <w:tab w:val="left" w:pos="0"/>
        </w:tabs>
        <w:suppressAutoHyphens/>
        <w:jc w:val="both"/>
        <w:rPr>
          <w:rFonts w:ascii="Arial" w:hAnsi="Arial" w:cs="Arial"/>
          <w:spacing w:val="-2"/>
          <w:sz w:val="2"/>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lastRenderedPageBreak/>
        <w:t>10.- Condiciones de Pago.</w:t>
      </w:r>
    </w:p>
    <w:p w14:paraId="6C960738" w14:textId="04E64C1C"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spacing w:val="-2"/>
          <w:lang w:val="es-ES_tradnl"/>
        </w:rPr>
        <w:t>El pago s</w:t>
      </w:r>
      <w:r>
        <w:rPr>
          <w:rFonts w:ascii="Arial" w:hAnsi="Arial" w:cs="Arial"/>
          <w:spacing w:val="-2"/>
          <w:lang w:val="es-ES_tradnl"/>
        </w:rPr>
        <w:t xml:space="preserve">erá en </w:t>
      </w:r>
      <w:r w:rsidR="00A02917">
        <w:rPr>
          <w:rFonts w:ascii="Arial" w:hAnsi="Arial" w:cs="Arial"/>
          <w:spacing w:val="-2"/>
          <w:lang w:val="es-ES_tradnl"/>
        </w:rPr>
        <w:t xml:space="preserve">una sola exhibición </w:t>
      </w:r>
      <w:r w:rsidR="005E06A4" w:rsidRPr="005E06A4">
        <w:rPr>
          <w:rFonts w:ascii="Arial" w:hAnsi="Arial" w:cs="Arial"/>
          <w:spacing w:val="-2"/>
          <w:lang w:val="es-ES_tradnl"/>
        </w:rPr>
        <w:t xml:space="preserve">contra la entrega y aceptación de los bienes </w:t>
      </w:r>
      <w:r w:rsidR="00A02917" w:rsidRPr="005E06A4">
        <w:rPr>
          <w:rFonts w:ascii="Arial" w:hAnsi="Arial" w:cs="Arial"/>
          <w:spacing w:val="-2"/>
          <w:lang w:val="es-ES_tradnl"/>
        </w:rPr>
        <w:t xml:space="preserve">en la Unidad de Tesorería de la Secretaría </w:t>
      </w:r>
      <w:r w:rsidRPr="005E06A4">
        <w:rPr>
          <w:rFonts w:ascii="Arial" w:hAnsi="Arial" w:cs="Arial"/>
          <w:spacing w:val="-2"/>
          <w:lang w:val="es-ES_tradnl"/>
        </w:rPr>
        <w:t>de Administración y Finanzas ubicada en el primer piso de la Unidad Administrativa de Gobierno del Estado de Sinaloa en la ciudad de Culiacán, S</w:t>
      </w:r>
      <w:r>
        <w:rPr>
          <w:rFonts w:ascii="Arial" w:hAnsi="Arial" w:cs="Arial"/>
          <w:spacing w:val="-2"/>
          <w:lang w:val="es-ES_tradnl"/>
        </w:rPr>
        <w:t xml:space="preserve">inaloa,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ubernamental (CONAC)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s facturas, actas de entrega y aceptación de los bienes objeto</w:t>
      </w:r>
      <w:r w:rsidR="000D7214">
        <w:rPr>
          <w:rFonts w:ascii="Arial" w:hAnsi="Arial" w:cs="Arial"/>
          <w:spacing w:val="-2"/>
          <w:lang w:val="es-ES_tradnl"/>
        </w:rPr>
        <w:t xml:space="preserve"> de esta convocatoria, y en su caso la fianza correspondiente</w:t>
      </w:r>
    </w:p>
    <w:p w14:paraId="5FC1DF7A" w14:textId="0C29FFF9" w:rsidR="00D1094C" w:rsidRPr="005E06A4" w:rsidRDefault="00D1094C" w:rsidP="00D1094C">
      <w:pPr>
        <w:tabs>
          <w:tab w:val="left" w:pos="-720"/>
          <w:tab w:val="left" w:pos="0"/>
        </w:tabs>
        <w:suppressAutoHyphens/>
        <w:jc w:val="both"/>
        <w:rPr>
          <w:rFonts w:ascii="Arial" w:hAnsi="Arial" w:cs="Arial"/>
          <w:spacing w:val="-2"/>
          <w:lang w:val="es-ES_tradnl"/>
        </w:rPr>
      </w:pPr>
      <w:r w:rsidRPr="005E06A4">
        <w:rPr>
          <w:rFonts w:ascii="Arial" w:hAnsi="Arial" w:cs="Arial"/>
          <w:spacing w:val="-2"/>
          <w:lang w:val="es-ES_tradnl"/>
        </w:rPr>
        <w:t>La Secretaría de Administración y finanzas, únicamente pagará el Impuesto al Valor Agregado. Los demás impuestos que se causen por motivo de la celebración del contrato correrán a cargo de</w:t>
      </w:r>
      <w:r w:rsidR="000D7214" w:rsidRPr="005E06A4">
        <w:rPr>
          <w:rFonts w:ascii="Arial" w:hAnsi="Arial" w:cs="Arial"/>
          <w:spacing w:val="-2"/>
          <w:lang w:val="es-ES_tradnl"/>
        </w:rPr>
        <w:t xml:space="preserve">l licitante </w:t>
      </w:r>
      <w:r w:rsidRPr="005E06A4">
        <w:rPr>
          <w:rFonts w:ascii="Arial" w:hAnsi="Arial" w:cs="Arial"/>
          <w:spacing w:val="-2"/>
          <w:lang w:val="es-ES_tradnl"/>
        </w:rPr>
        <w:t xml:space="preserve">que resulte </w:t>
      </w:r>
      <w:r w:rsidR="000D7214" w:rsidRPr="005E06A4">
        <w:rPr>
          <w:rFonts w:ascii="Arial" w:hAnsi="Arial" w:cs="Arial"/>
          <w:spacing w:val="-2"/>
          <w:lang w:val="es-ES_tradnl"/>
        </w:rPr>
        <w:t>adjudicado.</w:t>
      </w:r>
    </w:p>
    <w:p w14:paraId="2BA74395" w14:textId="77777777" w:rsidR="00D1094C" w:rsidRPr="00641041" w:rsidRDefault="00D1094C" w:rsidP="00D1094C">
      <w:pPr>
        <w:tabs>
          <w:tab w:val="left" w:pos="-720"/>
          <w:tab w:val="left" w:pos="0"/>
        </w:tabs>
        <w:suppressAutoHyphens/>
        <w:jc w:val="both"/>
        <w:rPr>
          <w:rFonts w:ascii="Arial" w:hAnsi="Arial" w:cs="Arial"/>
          <w:spacing w:val="-2"/>
          <w:lang w:val="es-ES_tradnl"/>
        </w:rPr>
      </w:pPr>
      <w:r w:rsidRPr="005E06A4">
        <w:rPr>
          <w:rFonts w:ascii="Arial" w:hAnsi="Arial" w:cs="Arial"/>
          <w:spacing w:val="-2"/>
          <w:lang w:val="es-ES_tradnl"/>
        </w:rPr>
        <w:t>La secretaría de Administración y Finanzas,</w:t>
      </w:r>
      <w:r>
        <w:rPr>
          <w:rFonts w:ascii="Arial" w:hAnsi="Arial" w:cs="Arial"/>
          <w:spacing w:val="-2"/>
          <w:lang w:val="es-ES_tradnl"/>
        </w:rPr>
        <w:t xml:space="preserve"> realizará el pago correspondiente, una vez que los bienes hayan sido recibidos.</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0D4B2FBA" w14:textId="77777777" w:rsidR="00D1094C" w:rsidRPr="00551704" w:rsidRDefault="00D1094C" w:rsidP="00D1094C">
      <w:pPr>
        <w:tabs>
          <w:tab w:val="left" w:pos="-720"/>
          <w:tab w:val="left" w:pos="0"/>
        </w:tabs>
        <w:suppressAutoHyphens/>
        <w:jc w:val="both"/>
        <w:rPr>
          <w:rFonts w:ascii="Arial" w:hAnsi="Arial" w:cs="Arial"/>
          <w:spacing w:val="-2"/>
          <w:sz w:val="2"/>
          <w:lang w:val="es-ES_tradnl"/>
        </w:rPr>
      </w:pP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41176C1"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551704" w:rsidRDefault="000D7214" w:rsidP="00D1094C">
      <w:pPr>
        <w:tabs>
          <w:tab w:val="left" w:pos="-720"/>
          <w:tab w:val="left" w:pos="0"/>
        </w:tabs>
        <w:suppressAutoHyphens/>
        <w:jc w:val="both"/>
        <w:rPr>
          <w:rFonts w:ascii="Arial" w:hAnsi="Arial" w:cs="Arial"/>
          <w:spacing w:val="-2"/>
          <w:sz w:val="4"/>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E1E3DAD" w14:textId="77777777" w:rsidR="00D1094C" w:rsidRPr="00DF79C5" w:rsidRDefault="00D1094C" w:rsidP="00D1094C">
      <w:pPr>
        <w:tabs>
          <w:tab w:val="left" w:pos="-720"/>
          <w:tab w:val="left" w:pos="0"/>
        </w:tabs>
        <w:suppressAutoHyphens/>
        <w:jc w:val="both"/>
        <w:rPr>
          <w:rFonts w:ascii="Arial" w:hAnsi="Arial" w:cs="Arial"/>
          <w:spacing w:val="-2"/>
          <w:sz w:val="2"/>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6F382B" w:rsidRDefault="00D1094C" w:rsidP="00D1094C">
      <w:pPr>
        <w:tabs>
          <w:tab w:val="left" w:pos="-720"/>
          <w:tab w:val="left" w:pos="0"/>
        </w:tabs>
        <w:suppressAutoHyphens/>
        <w:ind w:left="709"/>
        <w:jc w:val="both"/>
        <w:rPr>
          <w:rFonts w:ascii="Arial" w:hAnsi="Arial" w:cs="Arial"/>
          <w:spacing w:val="-2"/>
          <w:sz w:val="2"/>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6F382B" w:rsidRDefault="00D1094C" w:rsidP="00D1094C">
      <w:pPr>
        <w:tabs>
          <w:tab w:val="left" w:pos="-720"/>
          <w:tab w:val="left" w:pos="0"/>
        </w:tabs>
        <w:suppressAutoHyphens/>
        <w:ind w:left="709"/>
        <w:jc w:val="both"/>
        <w:rPr>
          <w:rFonts w:ascii="Arial" w:hAnsi="Arial" w:cs="Arial"/>
          <w:spacing w:val="-2"/>
          <w:sz w:val="2"/>
          <w:szCs w:val="16"/>
          <w:lang w:val="es-ES_tradnl"/>
        </w:rPr>
      </w:pPr>
    </w:p>
    <w:p w14:paraId="24AA2773"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494D5409" w14:textId="77777777" w:rsidR="00551704" w:rsidRPr="00551704" w:rsidRDefault="00551704" w:rsidP="00551704">
      <w:pPr>
        <w:pStyle w:val="Prrafodelista"/>
        <w:rPr>
          <w:rFonts w:ascii="Arial" w:hAnsi="Arial" w:cs="Arial"/>
          <w:spacing w:val="-2"/>
          <w:sz w:val="16"/>
          <w:lang w:val="es-ES_tradnl"/>
        </w:rPr>
      </w:pPr>
    </w:p>
    <w:p w14:paraId="2825B2E9" w14:textId="77777777" w:rsidR="00551704" w:rsidRPr="00551704" w:rsidRDefault="00551704" w:rsidP="00551704">
      <w:pPr>
        <w:tabs>
          <w:tab w:val="left" w:pos="-720"/>
          <w:tab w:val="left" w:pos="0"/>
        </w:tabs>
        <w:suppressAutoHyphens/>
        <w:spacing w:after="0" w:line="240" w:lineRule="auto"/>
        <w:ind w:left="709"/>
        <w:jc w:val="both"/>
        <w:rPr>
          <w:rFonts w:ascii="Arial" w:hAnsi="Arial" w:cs="Arial"/>
          <w:spacing w:val="-2"/>
          <w:sz w:val="2"/>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7FD248AE"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licita</w:t>
      </w:r>
      <w:r w:rsidR="000C330A">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w:t>
      </w:r>
      <w:r>
        <w:rPr>
          <w:rFonts w:ascii="Arial" w:hAnsi="Arial" w:cs="Arial"/>
          <w:spacing w:val="-2"/>
          <w:lang w:val="es-ES_tradnl"/>
        </w:rPr>
        <w:lastRenderedPageBreak/>
        <w:t>cual será deducido del importe total a pagar y no excederán del monto de la garantía de cumplimiento del contrato.</w:t>
      </w:r>
    </w:p>
    <w:p w14:paraId="595F4A66" w14:textId="2FBE62CB"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w:t>
      </w:r>
      <w:r w:rsidRPr="005E06A4">
        <w:rPr>
          <w:rFonts w:ascii="Arial" w:hAnsi="Arial" w:cs="Arial"/>
          <w:spacing w:val="-2"/>
          <w:lang w:val="es-ES_tradnl"/>
        </w:rPr>
        <w:t>bienes</w:t>
      </w:r>
      <w:r w:rsidR="000D7214" w:rsidRPr="005E06A4">
        <w:rPr>
          <w:rFonts w:ascii="Arial" w:hAnsi="Arial" w:cs="Arial"/>
          <w:spacing w:val="-2"/>
          <w:lang w:val="es-ES_tradnl"/>
        </w:rPr>
        <w:t xml:space="preserve"> </w:t>
      </w:r>
      <w:r>
        <w:rPr>
          <w:rFonts w:ascii="Arial" w:hAnsi="Arial" w:cs="Arial"/>
          <w:spacing w:val="-2"/>
          <w:lang w:val="es-ES_tradnl"/>
        </w:rPr>
        <w:t>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551704" w:rsidRDefault="00D1094C" w:rsidP="00D1094C">
      <w:pPr>
        <w:pStyle w:val="Prrafodelista"/>
        <w:ind w:left="0"/>
        <w:rPr>
          <w:rFonts w:ascii="Arial" w:hAnsi="Arial" w:cs="Arial"/>
          <w:spacing w:val="-2"/>
          <w:sz w:val="8"/>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551704" w:rsidRDefault="00D1094C" w:rsidP="00D1094C">
      <w:pPr>
        <w:pStyle w:val="Prrafodelista"/>
        <w:ind w:left="0"/>
        <w:rPr>
          <w:rFonts w:ascii="Arial" w:hAnsi="Arial" w:cs="Arial"/>
          <w:spacing w:val="-2"/>
          <w:sz w:val="8"/>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551704" w:rsidRDefault="00D1094C" w:rsidP="00D1094C">
      <w:pPr>
        <w:pStyle w:val="Prrafodelista"/>
        <w:ind w:left="0"/>
        <w:rPr>
          <w:rFonts w:ascii="Arial" w:hAnsi="Arial" w:cs="Arial"/>
          <w:spacing w:val="-2"/>
          <w:sz w:val="12"/>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DF79C5" w:rsidRDefault="00653541" w:rsidP="00653541">
      <w:pPr>
        <w:pStyle w:val="Prrafodelista"/>
        <w:ind w:left="0"/>
        <w:jc w:val="both"/>
        <w:rPr>
          <w:rFonts w:ascii="Arial" w:hAnsi="Arial" w:cs="Arial"/>
          <w:spacing w:val="-2"/>
          <w:sz w:val="24"/>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DF79C5" w:rsidRDefault="00D1094C" w:rsidP="00D1094C">
      <w:pPr>
        <w:pStyle w:val="Prrafodelista"/>
        <w:ind w:left="0"/>
        <w:rPr>
          <w:rFonts w:ascii="Arial" w:hAnsi="Arial" w:cs="Arial"/>
          <w:spacing w:val="-2"/>
          <w:sz w:val="1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Pr="00551704" w:rsidRDefault="00D1094C" w:rsidP="00D1094C">
      <w:pPr>
        <w:pStyle w:val="Prrafodelista"/>
        <w:ind w:left="1080"/>
        <w:jc w:val="both"/>
        <w:rPr>
          <w:rFonts w:ascii="Arial" w:hAnsi="Arial" w:cs="Arial"/>
          <w:spacing w:val="-2"/>
          <w:sz w:val="1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551704" w:rsidRDefault="00D1094C" w:rsidP="00D1094C">
      <w:pPr>
        <w:pStyle w:val="Prrafodelista"/>
        <w:jc w:val="both"/>
        <w:rPr>
          <w:rFonts w:ascii="Arial" w:hAnsi="Arial" w:cs="Arial"/>
          <w:spacing w:val="-2"/>
          <w:sz w:val="12"/>
          <w:lang w:val="es-ES_tradnl"/>
        </w:rPr>
      </w:pPr>
    </w:p>
    <w:p w14:paraId="3F44E223" w14:textId="5E7E7DF8"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Pr="00DF79C5" w:rsidRDefault="00D1094C" w:rsidP="00D1094C">
      <w:pPr>
        <w:pStyle w:val="Prrafodelista"/>
        <w:ind w:left="0"/>
        <w:jc w:val="both"/>
        <w:rPr>
          <w:rFonts w:ascii="Arial" w:hAnsi="Arial" w:cs="Arial"/>
          <w:spacing w:val="-2"/>
          <w:sz w:val="1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29B66CAE" w:rsidR="00D1094C" w:rsidRDefault="00D1094C" w:rsidP="00551704">
      <w:pPr>
        <w:tabs>
          <w:tab w:val="left" w:pos="-720"/>
        </w:tabs>
        <w:suppressAutoHyphens/>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D1094C" w:rsidSect="000C330A">
      <w:headerReference w:type="even" r:id="rId15"/>
      <w:headerReference w:type="default" r:id="rId16"/>
      <w:footerReference w:type="default" r:id="rId17"/>
      <w:headerReference w:type="first" r:id="rId18"/>
      <w:pgSz w:w="12240" w:h="15840"/>
      <w:pgMar w:top="1950"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36568"/>
      <w:docPartObj>
        <w:docPartGallery w:val="Page Numbers (Bottom of Page)"/>
        <w:docPartUnique/>
      </w:docPartObj>
    </w:sdtPr>
    <w:sdtEndPr>
      <w:rPr>
        <w:rFonts w:ascii="Arial" w:hAnsi="Arial" w:cs="Arial"/>
        <w:sz w:val="12"/>
      </w:rPr>
    </w:sdtEndPr>
    <w:sdtContent>
      <w:p w14:paraId="4E39CDF6" w14:textId="30092592" w:rsidR="007A6206" w:rsidRPr="001003B3" w:rsidRDefault="007A6206">
        <w:pPr>
          <w:pStyle w:val="Piedepgina"/>
          <w:jc w:val="right"/>
          <w:rPr>
            <w:rFonts w:ascii="Arial" w:hAnsi="Arial" w:cs="Arial"/>
            <w:sz w:val="12"/>
          </w:rPr>
        </w:pPr>
        <w:r w:rsidRPr="001003B3">
          <w:rPr>
            <w:rFonts w:ascii="Arial" w:hAnsi="Arial" w:cs="Arial"/>
            <w:sz w:val="12"/>
          </w:rPr>
          <w:t xml:space="preserve">GES </w:t>
        </w:r>
        <w:r w:rsidR="001003B3" w:rsidRPr="001003B3">
          <w:rPr>
            <w:rFonts w:ascii="Arial" w:hAnsi="Arial" w:cs="Arial"/>
            <w:sz w:val="12"/>
          </w:rPr>
          <w:t>07</w:t>
        </w:r>
        <w:r w:rsidRPr="001003B3">
          <w:rPr>
            <w:rFonts w:ascii="Arial" w:hAnsi="Arial" w:cs="Arial"/>
            <w:sz w:val="12"/>
          </w:rPr>
          <w:t>/202</w:t>
        </w:r>
        <w:r w:rsidR="0018435D" w:rsidRPr="001003B3">
          <w:rPr>
            <w:rFonts w:ascii="Arial" w:hAnsi="Arial" w:cs="Arial"/>
            <w:sz w:val="12"/>
          </w:rPr>
          <w:t>4</w:t>
        </w:r>
      </w:p>
      <w:p w14:paraId="68BB6AE8" w14:textId="77777777" w:rsidR="007A6206" w:rsidRPr="001003B3" w:rsidRDefault="007A6206">
        <w:pPr>
          <w:pStyle w:val="Piedepgina"/>
          <w:jc w:val="right"/>
          <w:rPr>
            <w:rFonts w:ascii="Arial" w:hAnsi="Arial" w:cs="Arial"/>
            <w:sz w:val="12"/>
          </w:rPr>
        </w:pPr>
        <w:r w:rsidRPr="001003B3">
          <w:rPr>
            <w:rFonts w:ascii="Arial" w:hAnsi="Arial" w:cs="Arial"/>
            <w:sz w:val="12"/>
          </w:rPr>
          <w:t>CONVOCATORIA</w:t>
        </w:r>
      </w:p>
      <w:p w14:paraId="51EF7E22" w14:textId="726F2ADB" w:rsidR="000C330A" w:rsidRPr="007A6206" w:rsidRDefault="000C330A">
        <w:pPr>
          <w:pStyle w:val="Piedepgina"/>
          <w:jc w:val="right"/>
          <w:rPr>
            <w:rFonts w:ascii="Arial" w:hAnsi="Arial" w:cs="Arial"/>
            <w:sz w:val="12"/>
          </w:rPr>
        </w:pPr>
        <w:r w:rsidRPr="001003B3">
          <w:rPr>
            <w:rFonts w:ascii="Arial" w:hAnsi="Arial" w:cs="Arial"/>
            <w:sz w:val="12"/>
          </w:rPr>
          <w:fldChar w:fldCharType="begin"/>
        </w:r>
        <w:r w:rsidRPr="001003B3">
          <w:rPr>
            <w:rFonts w:ascii="Arial" w:hAnsi="Arial" w:cs="Arial"/>
            <w:sz w:val="12"/>
          </w:rPr>
          <w:instrText>PAGE   \* MERGEFORMAT</w:instrText>
        </w:r>
        <w:r w:rsidRPr="001003B3">
          <w:rPr>
            <w:rFonts w:ascii="Arial" w:hAnsi="Arial" w:cs="Arial"/>
            <w:sz w:val="12"/>
          </w:rPr>
          <w:fldChar w:fldCharType="separate"/>
        </w:r>
        <w:r w:rsidR="00D0631E" w:rsidRPr="00D0631E">
          <w:rPr>
            <w:rFonts w:ascii="Arial" w:hAnsi="Arial" w:cs="Arial"/>
            <w:noProof/>
            <w:sz w:val="12"/>
            <w:lang w:val="es-ES"/>
          </w:rPr>
          <w:t>11</w:t>
        </w:r>
        <w:r w:rsidRPr="001003B3">
          <w:rPr>
            <w:rFonts w:ascii="Arial" w:hAnsi="Arial" w:cs="Arial"/>
            <w:sz w:val="12"/>
          </w:rPr>
          <w:fldChar w:fldCharType="end"/>
        </w:r>
      </w:p>
    </w:sdtContent>
  </w:sdt>
  <w:p w14:paraId="2E4A9296" w14:textId="77777777" w:rsidR="000C330A" w:rsidRDefault="000C3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D0631E">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D0631E">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90.3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D0631E">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34090"/>
    <w:multiLevelType w:val="hybridMultilevel"/>
    <w:tmpl w:val="C332D97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7672E1"/>
    <w:multiLevelType w:val="hybridMultilevel"/>
    <w:tmpl w:val="6DA6D382"/>
    <w:lvl w:ilvl="0" w:tplc="B644E88C">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685671FB"/>
    <w:multiLevelType w:val="hybridMultilevel"/>
    <w:tmpl w:val="0F545860"/>
    <w:lvl w:ilvl="0" w:tplc="E3747EBA">
      <w:start w:val="8"/>
      <w:numFmt w:val="bullet"/>
      <w:lvlText w:val="-"/>
      <w:lvlJc w:val="left"/>
      <w:pPr>
        <w:ind w:left="720" w:hanging="360"/>
      </w:pPr>
      <w:rPr>
        <w:rFonts w:ascii="Arial" w:eastAsiaTheme="minorHAnsi" w:hAnsi="Arial" w:cs="Arial" w:hint="default"/>
        <w:b/>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1604F06"/>
    <w:multiLevelType w:val="hybridMultilevel"/>
    <w:tmpl w:val="3DA2F98E"/>
    <w:lvl w:ilvl="0" w:tplc="52669C4E">
      <w:start w:val="1"/>
      <w:numFmt w:val="bullet"/>
      <w:lvlText w:val=""/>
      <w:lvlJc w:val="left"/>
      <w:pPr>
        <w:ind w:left="720" w:hanging="360"/>
      </w:pPr>
      <w:rPr>
        <w:rFonts w:ascii="Symbol" w:hAnsi="Symbol" w:hint="default"/>
        <w:b/>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7"/>
  </w:num>
  <w:num w:numId="6">
    <w:abstractNumId w:val="13"/>
  </w:num>
  <w:num w:numId="7">
    <w:abstractNumId w:val="17"/>
  </w:num>
  <w:num w:numId="8">
    <w:abstractNumId w:val="16"/>
  </w:num>
  <w:num w:numId="9">
    <w:abstractNumId w:val="2"/>
  </w:num>
  <w:num w:numId="10">
    <w:abstractNumId w:val="4"/>
  </w:num>
  <w:num w:numId="11">
    <w:abstractNumId w:val="12"/>
  </w:num>
  <w:num w:numId="12">
    <w:abstractNumId w:val="0"/>
  </w:num>
  <w:num w:numId="13">
    <w:abstractNumId w:val="6"/>
  </w:num>
  <w:num w:numId="14">
    <w:abstractNumId w:val="3"/>
  </w:num>
  <w:num w:numId="15">
    <w:abstractNumId w:val="1"/>
  </w:num>
  <w:num w:numId="16">
    <w:abstractNumId w:val="1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65EC"/>
    <w:rsid w:val="00061A26"/>
    <w:rsid w:val="00074BC7"/>
    <w:rsid w:val="00082A9D"/>
    <w:rsid w:val="00087E53"/>
    <w:rsid w:val="000B77DF"/>
    <w:rsid w:val="000C330A"/>
    <w:rsid w:val="000D2C85"/>
    <w:rsid w:val="000D7214"/>
    <w:rsid w:val="001003B3"/>
    <w:rsid w:val="00115BB6"/>
    <w:rsid w:val="001248AC"/>
    <w:rsid w:val="0014731D"/>
    <w:rsid w:val="0016695F"/>
    <w:rsid w:val="00183866"/>
    <w:rsid w:val="0018435D"/>
    <w:rsid w:val="001B38FB"/>
    <w:rsid w:val="001C30A2"/>
    <w:rsid w:val="00211B70"/>
    <w:rsid w:val="00223123"/>
    <w:rsid w:val="002467AC"/>
    <w:rsid w:val="002602D6"/>
    <w:rsid w:val="00263C7A"/>
    <w:rsid w:val="0026795F"/>
    <w:rsid w:val="00296016"/>
    <w:rsid w:val="002D3941"/>
    <w:rsid w:val="002E0116"/>
    <w:rsid w:val="00357E3F"/>
    <w:rsid w:val="00361269"/>
    <w:rsid w:val="003849F3"/>
    <w:rsid w:val="003B0826"/>
    <w:rsid w:val="003C5432"/>
    <w:rsid w:val="00400841"/>
    <w:rsid w:val="00413F41"/>
    <w:rsid w:val="0042249E"/>
    <w:rsid w:val="0043281F"/>
    <w:rsid w:val="00446ED1"/>
    <w:rsid w:val="004516B3"/>
    <w:rsid w:val="00454EF1"/>
    <w:rsid w:val="004877E2"/>
    <w:rsid w:val="004A4609"/>
    <w:rsid w:val="004B17E7"/>
    <w:rsid w:val="004C2F45"/>
    <w:rsid w:val="004C63FB"/>
    <w:rsid w:val="004C7836"/>
    <w:rsid w:val="004F6C2F"/>
    <w:rsid w:val="00514284"/>
    <w:rsid w:val="005443ED"/>
    <w:rsid w:val="00551704"/>
    <w:rsid w:val="005C374D"/>
    <w:rsid w:val="005C3E65"/>
    <w:rsid w:val="005E06A4"/>
    <w:rsid w:val="005F13E2"/>
    <w:rsid w:val="006074AE"/>
    <w:rsid w:val="0061646E"/>
    <w:rsid w:val="006447DB"/>
    <w:rsid w:val="00645863"/>
    <w:rsid w:val="00645EC9"/>
    <w:rsid w:val="00653541"/>
    <w:rsid w:val="006565F6"/>
    <w:rsid w:val="006642F5"/>
    <w:rsid w:val="006737EC"/>
    <w:rsid w:val="00692D4A"/>
    <w:rsid w:val="00696493"/>
    <w:rsid w:val="006A59B9"/>
    <w:rsid w:val="006D6DDC"/>
    <w:rsid w:val="006E13BC"/>
    <w:rsid w:val="006F2790"/>
    <w:rsid w:val="006F3169"/>
    <w:rsid w:val="006F382B"/>
    <w:rsid w:val="006F6F85"/>
    <w:rsid w:val="0070388F"/>
    <w:rsid w:val="00723BBB"/>
    <w:rsid w:val="007A4D95"/>
    <w:rsid w:val="007A6206"/>
    <w:rsid w:val="007D261A"/>
    <w:rsid w:val="007D7156"/>
    <w:rsid w:val="007E0522"/>
    <w:rsid w:val="007E39F0"/>
    <w:rsid w:val="00814C65"/>
    <w:rsid w:val="0085779B"/>
    <w:rsid w:val="00866BDB"/>
    <w:rsid w:val="008756F0"/>
    <w:rsid w:val="008800A0"/>
    <w:rsid w:val="00881D28"/>
    <w:rsid w:val="008960C9"/>
    <w:rsid w:val="008B5F0A"/>
    <w:rsid w:val="008B6D34"/>
    <w:rsid w:val="008C60F5"/>
    <w:rsid w:val="008E5B86"/>
    <w:rsid w:val="00902176"/>
    <w:rsid w:val="0096230F"/>
    <w:rsid w:val="009867E7"/>
    <w:rsid w:val="009B5E24"/>
    <w:rsid w:val="009F16C8"/>
    <w:rsid w:val="00A02917"/>
    <w:rsid w:val="00A129FC"/>
    <w:rsid w:val="00A20661"/>
    <w:rsid w:val="00A22A3F"/>
    <w:rsid w:val="00A23DA2"/>
    <w:rsid w:val="00A31BDD"/>
    <w:rsid w:val="00A72864"/>
    <w:rsid w:val="00A92074"/>
    <w:rsid w:val="00AA094B"/>
    <w:rsid w:val="00AB0E67"/>
    <w:rsid w:val="00AD0E46"/>
    <w:rsid w:val="00AE75C6"/>
    <w:rsid w:val="00B00CAB"/>
    <w:rsid w:val="00B07E70"/>
    <w:rsid w:val="00B12E55"/>
    <w:rsid w:val="00B51ED7"/>
    <w:rsid w:val="00B857D4"/>
    <w:rsid w:val="00BD0F63"/>
    <w:rsid w:val="00BD7809"/>
    <w:rsid w:val="00C30126"/>
    <w:rsid w:val="00C368FF"/>
    <w:rsid w:val="00C4158C"/>
    <w:rsid w:val="00C431F8"/>
    <w:rsid w:val="00C4571D"/>
    <w:rsid w:val="00C577BF"/>
    <w:rsid w:val="00C62339"/>
    <w:rsid w:val="00C954B3"/>
    <w:rsid w:val="00CA5834"/>
    <w:rsid w:val="00CF57A4"/>
    <w:rsid w:val="00CF737C"/>
    <w:rsid w:val="00D040EE"/>
    <w:rsid w:val="00D0631E"/>
    <w:rsid w:val="00D1094C"/>
    <w:rsid w:val="00D55E3C"/>
    <w:rsid w:val="00DA1DB1"/>
    <w:rsid w:val="00DA7D82"/>
    <w:rsid w:val="00DD2EDF"/>
    <w:rsid w:val="00DF2558"/>
    <w:rsid w:val="00DF79C5"/>
    <w:rsid w:val="00E10F4B"/>
    <w:rsid w:val="00E11CC4"/>
    <w:rsid w:val="00E564E2"/>
    <w:rsid w:val="00E702C9"/>
    <w:rsid w:val="00E818DE"/>
    <w:rsid w:val="00E974B1"/>
    <w:rsid w:val="00EA72A2"/>
    <w:rsid w:val="00EB375E"/>
    <w:rsid w:val="00EB62E1"/>
    <w:rsid w:val="00EC246F"/>
    <w:rsid w:val="00F16489"/>
    <w:rsid w:val="00F359D7"/>
    <w:rsid w:val="00F54CA7"/>
    <w:rsid w:val="00F70DCB"/>
    <w:rsid w:val="00F739AA"/>
    <w:rsid w:val="00F81F0A"/>
    <w:rsid w:val="00FA2C67"/>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6E1B-B19F-405E-B0D4-E5F9EA0F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4987</Words>
  <Characters>27433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9</cp:revision>
  <cp:lastPrinted>2022-04-12T20:17:00Z</cp:lastPrinted>
  <dcterms:created xsi:type="dcterms:W3CDTF">2024-04-11T17:44:00Z</dcterms:created>
  <dcterms:modified xsi:type="dcterms:W3CDTF">2024-04-15T16:00:00Z</dcterms:modified>
</cp:coreProperties>
</file>