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A71C86" w:rsidRDefault="00E16811" w:rsidP="00E16811">
      <w:pPr>
        <w:spacing w:after="0" w:line="240" w:lineRule="auto"/>
        <w:jc w:val="center"/>
        <w:rPr>
          <w:rFonts w:ascii="Arial" w:eastAsia="Times New Roman" w:hAnsi="Arial" w:cs="Arial"/>
          <w:b/>
          <w:sz w:val="16"/>
          <w:szCs w:val="16"/>
          <w:lang w:eastAsia="es-MX"/>
        </w:rPr>
      </w:pPr>
    </w:p>
    <w:p w:rsidR="00A71C86" w:rsidRPr="00A71C86" w:rsidRDefault="00A71C86" w:rsidP="00A71C86">
      <w:pPr>
        <w:pStyle w:val="Ttulo"/>
        <w:rPr>
          <w:sz w:val="20"/>
          <w:szCs w:val="20"/>
        </w:rPr>
      </w:pPr>
      <w:r w:rsidRPr="00A71C86">
        <w:rPr>
          <w:sz w:val="20"/>
          <w:szCs w:val="20"/>
        </w:rPr>
        <w:t>Convocatoria a la Licitación Pública Nacional Número GES 15/2023</w:t>
      </w:r>
    </w:p>
    <w:p w:rsidR="00A71C86" w:rsidRPr="00A71C86" w:rsidRDefault="00A71C86" w:rsidP="00A71C86">
      <w:pPr>
        <w:tabs>
          <w:tab w:val="center" w:pos="4678"/>
        </w:tabs>
        <w:suppressAutoHyphens/>
        <w:spacing w:after="0" w:line="240" w:lineRule="auto"/>
        <w:jc w:val="both"/>
        <w:rPr>
          <w:rFonts w:ascii="Arial" w:eastAsia="Times New Roman" w:hAnsi="Arial" w:cs="Times New Roman"/>
          <w:b/>
          <w:bCs/>
          <w:spacing w:val="-3"/>
          <w:sz w:val="20"/>
          <w:szCs w:val="20"/>
          <w:lang w:val="es-ES_tradnl" w:eastAsia="x-none"/>
        </w:rPr>
      </w:pPr>
      <w:r w:rsidRPr="00A71C86">
        <w:rPr>
          <w:rFonts w:ascii="Arial" w:eastAsia="Times New Roman" w:hAnsi="Arial" w:cs="Arial"/>
          <w:b/>
          <w:bCs/>
          <w:spacing w:val="-3"/>
          <w:sz w:val="20"/>
          <w:szCs w:val="20"/>
          <w:shd w:val="clear" w:color="auto" w:fill="FFFFFF"/>
          <w:lang w:val="es-ES_tradnl" w:eastAsia="x-none"/>
        </w:rPr>
        <w:t>Contratación de seguro agrícola catastrófico, solicitada por la Secretaría de Agricultura y Ganadería</w:t>
      </w:r>
    </w:p>
    <w:p w:rsidR="00E16811" w:rsidRPr="00A71C86" w:rsidRDefault="00E16811" w:rsidP="00E16811">
      <w:pPr>
        <w:spacing w:after="0" w:line="240" w:lineRule="auto"/>
        <w:jc w:val="center"/>
        <w:rPr>
          <w:rFonts w:ascii="Arial" w:eastAsia="Times New Roman" w:hAnsi="Arial" w:cs="Arial"/>
          <w:b/>
          <w:sz w:val="20"/>
          <w:szCs w:val="20"/>
          <w:lang w:eastAsia="es-MX"/>
        </w:rPr>
      </w:pPr>
    </w:p>
    <w:p w:rsidR="00E16811" w:rsidRDefault="00E16811" w:rsidP="00E16811">
      <w:pPr>
        <w:spacing w:after="0" w:line="240" w:lineRule="auto"/>
        <w:jc w:val="center"/>
        <w:rPr>
          <w:rFonts w:ascii="Arial" w:eastAsia="Times New Roman" w:hAnsi="Arial" w:cs="Arial"/>
          <w:b/>
          <w:sz w:val="20"/>
          <w:szCs w:val="20"/>
          <w:lang w:val="pt-BR" w:eastAsia="es-MX"/>
        </w:rPr>
      </w:pPr>
      <w:r w:rsidRPr="00A71C86">
        <w:rPr>
          <w:rFonts w:ascii="Arial" w:eastAsia="Times New Roman" w:hAnsi="Arial" w:cs="Arial"/>
          <w:b/>
          <w:sz w:val="20"/>
          <w:szCs w:val="20"/>
          <w:lang w:val="pt-BR" w:eastAsia="es-MX"/>
        </w:rPr>
        <w:t>A N E X</w:t>
      </w:r>
      <w:r w:rsidRPr="00E16811">
        <w:rPr>
          <w:rFonts w:ascii="Arial" w:eastAsia="Times New Roman" w:hAnsi="Arial" w:cs="Arial"/>
          <w:b/>
          <w:sz w:val="20"/>
          <w:szCs w:val="20"/>
          <w:lang w:val="pt-BR" w:eastAsia="es-MX"/>
        </w:rPr>
        <w:t xml:space="preserve"> O   I</w:t>
      </w:r>
    </w:p>
    <w:p w:rsidR="003F31A5" w:rsidRDefault="003F31A5" w:rsidP="003F31A5">
      <w:pPr>
        <w:spacing w:after="0" w:line="240" w:lineRule="auto"/>
        <w:jc w:val="center"/>
        <w:rPr>
          <w:rFonts w:ascii="Arial" w:hAnsi="Arial" w:cs="Arial"/>
          <w:b/>
          <w:sz w:val="18"/>
          <w:szCs w:val="18"/>
          <w:lang w:val="pt-BR"/>
        </w:rPr>
      </w:pPr>
      <w:proofErr w:type="spellStart"/>
      <w:r w:rsidRPr="0037731A">
        <w:rPr>
          <w:rFonts w:ascii="Arial" w:hAnsi="Arial" w:cs="Arial"/>
          <w:b/>
          <w:sz w:val="18"/>
          <w:szCs w:val="18"/>
          <w:lang w:val="pt-BR"/>
        </w:rPr>
        <w:t>Especificaciones</w:t>
      </w:r>
      <w:proofErr w:type="spellEnd"/>
      <w:r w:rsidRPr="0037731A">
        <w:rPr>
          <w:rFonts w:ascii="Arial" w:hAnsi="Arial" w:cs="Arial"/>
          <w:b/>
          <w:sz w:val="18"/>
          <w:szCs w:val="18"/>
          <w:lang w:val="pt-BR"/>
        </w:rPr>
        <w:t xml:space="preserve"> Técnicas</w:t>
      </w:r>
    </w:p>
    <w:p w:rsidR="003F31A5" w:rsidRDefault="003F31A5" w:rsidP="003F31A5">
      <w:pPr>
        <w:spacing w:after="0" w:line="240" w:lineRule="auto"/>
        <w:jc w:val="center"/>
        <w:rPr>
          <w:rFonts w:ascii="Arial" w:hAnsi="Arial" w:cs="Arial"/>
          <w:b/>
          <w:sz w:val="18"/>
          <w:szCs w:val="18"/>
          <w:lang w:val="pt-BR"/>
        </w:rPr>
      </w:pPr>
    </w:p>
    <w:p w:rsidR="003F31A5" w:rsidRPr="00FC105C" w:rsidRDefault="003F31A5" w:rsidP="003F31A5">
      <w:pPr>
        <w:pStyle w:val="Prrafodelista"/>
        <w:numPr>
          <w:ilvl w:val="0"/>
          <w:numId w:val="31"/>
        </w:numPr>
        <w:spacing w:before="60" w:line="240" w:lineRule="auto"/>
        <w:ind w:left="426" w:hanging="350"/>
        <w:jc w:val="both"/>
        <w:rPr>
          <w:rFonts w:ascii="Arial" w:hAnsi="Arial" w:cs="Arial"/>
          <w:sz w:val="18"/>
          <w:szCs w:val="18"/>
          <w:lang w:val="es-ES_tradnl"/>
        </w:rPr>
      </w:pPr>
      <w:r w:rsidRPr="004D34F6">
        <w:rPr>
          <w:rFonts w:ascii="Arial" w:hAnsi="Arial" w:cs="Arial"/>
          <w:sz w:val="18"/>
          <w:szCs w:val="18"/>
          <w:lang w:val="es-ES_tradnl"/>
        </w:rPr>
        <w:t>Riesgos asegurados</w:t>
      </w:r>
      <w:r w:rsidRPr="00FC105C">
        <w:rPr>
          <w:rFonts w:ascii="Arial" w:hAnsi="Arial" w:cs="Arial"/>
          <w:sz w:val="18"/>
          <w:szCs w:val="18"/>
          <w:lang w:val="es-ES_tradnl"/>
        </w:rPr>
        <w:t xml:space="preserve">: Granizada, </w:t>
      </w:r>
      <w:r>
        <w:rPr>
          <w:rFonts w:ascii="Arial" w:hAnsi="Arial" w:cs="Arial"/>
          <w:sz w:val="18"/>
          <w:szCs w:val="18"/>
          <w:lang w:val="es-ES_tradnl"/>
        </w:rPr>
        <w:t>H</w:t>
      </w:r>
      <w:r w:rsidRPr="00FC105C">
        <w:rPr>
          <w:rFonts w:ascii="Arial" w:hAnsi="Arial" w:cs="Arial"/>
          <w:sz w:val="18"/>
          <w:szCs w:val="18"/>
          <w:lang w:val="es-ES_tradnl"/>
        </w:rPr>
        <w:t>elada (</w:t>
      </w:r>
      <w:r>
        <w:rPr>
          <w:rFonts w:ascii="Arial" w:hAnsi="Arial" w:cs="Arial"/>
          <w:sz w:val="18"/>
          <w:szCs w:val="18"/>
          <w:lang w:val="es-ES_tradnl"/>
        </w:rPr>
        <w:t>N</w:t>
      </w:r>
      <w:r w:rsidRPr="00FC105C">
        <w:rPr>
          <w:rFonts w:ascii="Arial" w:hAnsi="Arial" w:cs="Arial"/>
          <w:sz w:val="18"/>
          <w:szCs w:val="18"/>
          <w:lang w:val="es-ES_tradnl"/>
        </w:rPr>
        <w:t xml:space="preserve">evada), </w:t>
      </w:r>
      <w:r>
        <w:rPr>
          <w:rFonts w:ascii="Arial" w:hAnsi="Arial" w:cs="Arial"/>
          <w:sz w:val="18"/>
          <w:szCs w:val="18"/>
          <w:lang w:val="es-ES_tradnl"/>
        </w:rPr>
        <w:t>I</w:t>
      </w:r>
      <w:r w:rsidRPr="00FC105C">
        <w:rPr>
          <w:rFonts w:ascii="Arial" w:hAnsi="Arial" w:cs="Arial"/>
          <w:sz w:val="18"/>
          <w:szCs w:val="18"/>
          <w:lang w:val="es-ES_tradnl"/>
        </w:rPr>
        <w:t xml:space="preserve">nundación, </w:t>
      </w:r>
      <w:r>
        <w:rPr>
          <w:rFonts w:ascii="Arial" w:hAnsi="Arial" w:cs="Arial"/>
          <w:sz w:val="18"/>
          <w:szCs w:val="18"/>
          <w:lang w:val="es-ES_tradnl"/>
        </w:rPr>
        <w:t>S</w:t>
      </w:r>
      <w:r w:rsidRPr="00FC105C">
        <w:rPr>
          <w:rFonts w:ascii="Arial" w:hAnsi="Arial" w:cs="Arial"/>
          <w:sz w:val="18"/>
          <w:szCs w:val="18"/>
          <w:lang w:val="es-ES_tradnl"/>
        </w:rPr>
        <w:t xml:space="preserve">equía, </w:t>
      </w:r>
      <w:r>
        <w:rPr>
          <w:rFonts w:ascii="Arial" w:hAnsi="Arial" w:cs="Arial"/>
          <w:sz w:val="18"/>
          <w:szCs w:val="18"/>
          <w:lang w:val="es-ES_tradnl"/>
        </w:rPr>
        <w:t>L</w:t>
      </w:r>
      <w:r w:rsidRPr="00FC105C">
        <w:rPr>
          <w:rFonts w:ascii="Arial" w:hAnsi="Arial" w:cs="Arial"/>
          <w:sz w:val="18"/>
          <w:szCs w:val="18"/>
          <w:lang w:val="es-ES_tradnl"/>
        </w:rPr>
        <w:t>luvia (</w:t>
      </w:r>
      <w:r>
        <w:rPr>
          <w:rFonts w:ascii="Arial" w:hAnsi="Arial" w:cs="Arial"/>
          <w:sz w:val="18"/>
          <w:szCs w:val="18"/>
          <w:lang w:val="es-ES_tradnl"/>
        </w:rPr>
        <w:t>M</w:t>
      </w:r>
      <w:r w:rsidRPr="00FC105C">
        <w:rPr>
          <w:rFonts w:ascii="Arial" w:hAnsi="Arial" w:cs="Arial"/>
          <w:sz w:val="18"/>
          <w:szCs w:val="18"/>
          <w:lang w:val="es-ES_tradnl"/>
        </w:rPr>
        <w:t xml:space="preserve">ovimiento de </w:t>
      </w:r>
      <w:r>
        <w:rPr>
          <w:rFonts w:ascii="Arial" w:hAnsi="Arial" w:cs="Arial"/>
          <w:sz w:val="18"/>
          <w:szCs w:val="18"/>
          <w:lang w:val="es-ES_tradnl"/>
        </w:rPr>
        <w:t>L</w:t>
      </w:r>
      <w:r w:rsidRPr="00FC105C">
        <w:rPr>
          <w:rFonts w:ascii="Arial" w:hAnsi="Arial" w:cs="Arial"/>
          <w:sz w:val="18"/>
          <w:szCs w:val="18"/>
          <w:lang w:val="es-ES_tradnl"/>
        </w:rPr>
        <w:t xml:space="preserve">adera) </w:t>
      </w:r>
      <w:r>
        <w:rPr>
          <w:rFonts w:ascii="Arial" w:hAnsi="Arial" w:cs="Arial"/>
          <w:sz w:val="18"/>
          <w:szCs w:val="18"/>
          <w:lang w:val="es-ES_tradnl"/>
        </w:rPr>
        <w:t>V</w:t>
      </w:r>
      <w:r w:rsidRPr="00FC105C">
        <w:rPr>
          <w:rFonts w:ascii="Arial" w:hAnsi="Arial" w:cs="Arial"/>
          <w:sz w:val="18"/>
          <w:szCs w:val="18"/>
          <w:lang w:val="es-ES_tradnl"/>
        </w:rPr>
        <w:t>ientos (</w:t>
      </w:r>
      <w:r>
        <w:rPr>
          <w:rFonts w:ascii="Arial" w:hAnsi="Arial" w:cs="Arial"/>
          <w:sz w:val="18"/>
          <w:szCs w:val="18"/>
          <w:lang w:val="es-ES_tradnl"/>
        </w:rPr>
        <w:t>T</w:t>
      </w:r>
      <w:r w:rsidRPr="00FC105C">
        <w:rPr>
          <w:rFonts w:ascii="Arial" w:hAnsi="Arial" w:cs="Arial"/>
          <w:sz w:val="18"/>
          <w:szCs w:val="18"/>
          <w:lang w:val="es-ES_tradnl"/>
        </w:rPr>
        <w:t xml:space="preserve">ornado, </w:t>
      </w:r>
      <w:r>
        <w:rPr>
          <w:rFonts w:ascii="Arial" w:hAnsi="Arial" w:cs="Arial"/>
          <w:sz w:val="18"/>
          <w:szCs w:val="18"/>
          <w:lang w:val="es-ES_tradnl"/>
        </w:rPr>
        <w:t>C</w:t>
      </w:r>
      <w:r w:rsidRPr="00FC105C">
        <w:rPr>
          <w:rFonts w:ascii="Arial" w:hAnsi="Arial" w:cs="Arial"/>
          <w:sz w:val="18"/>
          <w:szCs w:val="18"/>
          <w:lang w:val="es-ES_tradnl"/>
        </w:rPr>
        <w:t xml:space="preserve">iclón), </w:t>
      </w:r>
      <w:r>
        <w:rPr>
          <w:rFonts w:ascii="Arial" w:hAnsi="Arial" w:cs="Arial"/>
          <w:sz w:val="18"/>
          <w:szCs w:val="18"/>
          <w:lang w:val="es-ES_tradnl"/>
        </w:rPr>
        <w:t>E</w:t>
      </w:r>
      <w:r w:rsidRPr="00FC105C">
        <w:rPr>
          <w:rFonts w:ascii="Arial" w:hAnsi="Arial" w:cs="Arial"/>
          <w:sz w:val="18"/>
          <w:szCs w:val="18"/>
          <w:lang w:val="es-ES_tradnl"/>
        </w:rPr>
        <w:t xml:space="preserve">rupción </w:t>
      </w:r>
      <w:r>
        <w:rPr>
          <w:rFonts w:ascii="Arial" w:hAnsi="Arial" w:cs="Arial"/>
          <w:sz w:val="18"/>
          <w:szCs w:val="18"/>
          <w:lang w:val="es-ES_tradnl"/>
        </w:rPr>
        <w:t>V</w:t>
      </w:r>
      <w:r w:rsidRPr="00FC105C">
        <w:rPr>
          <w:rFonts w:ascii="Arial" w:hAnsi="Arial" w:cs="Arial"/>
          <w:sz w:val="18"/>
          <w:szCs w:val="18"/>
          <w:lang w:val="es-ES_tradnl"/>
        </w:rPr>
        <w:t xml:space="preserve">olcánica, </w:t>
      </w:r>
      <w:r>
        <w:rPr>
          <w:rFonts w:ascii="Arial" w:hAnsi="Arial" w:cs="Arial"/>
          <w:sz w:val="18"/>
          <w:szCs w:val="18"/>
          <w:lang w:val="es-ES_tradnl"/>
        </w:rPr>
        <w:t>T</w:t>
      </w:r>
      <w:r w:rsidRPr="00FC105C">
        <w:rPr>
          <w:rFonts w:ascii="Arial" w:hAnsi="Arial" w:cs="Arial"/>
          <w:sz w:val="18"/>
          <w:szCs w:val="18"/>
          <w:lang w:val="es-ES_tradnl"/>
        </w:rPr>
        <w:t>erremoto (</w:t>
      </w:r>
      <w:r>
        <w:rPr>
          <w:rFonts w:ascii="Arial" w:hAnsi="Arial" w:cs="Arial"/>
          <w:sz w:val="18"/>
          <w:szCs w:val="18"/>
          <w:lang w:val="es-ES_tradnl"/>
        </w:rPr>
        <w:t>M</w:t>
      </w:r>
      <w:r w:rsidRPr="00FC105C">
        <w:rPr>
          <w:rFonts w:ascii="Arial" w:hAnsi="Arial" w:cs="Arial"/>
          <w:sz w:val="18"/>
          <w:szCs w:val="18"/>
          <w:lang w:val="es-ES_tradnl"/>
        </w:rPr>
        <w:t xml:space="preserve">aremoto). </w:t>
      </w:r>
    </w:p>
    <w:p w:rsidR="003F31A5" w:rsidRPr="004D34F6" w:rsidRDefault="003F31A5" w:rsidP="003F31A5">
      <w:pPr>
        <w:pStyle w:val="Prrafodelista"/>
        <w:numPr>
          <w:ilvl w:val="0"/>
          <w:numId w:val="31"/>
        </w:numPr>
        <w:spacing w:before="60" w:line="240" w:lineRule="auto"/>
        <w:ind w:left="426" w:hanging="350"/>
        <w:jc w:val="both"/>
        <w:rPr>
          <w:rFonts w:ascii="Arial" w:hAnsi="Arial" w:cs="Arial"/>
          <w:sz w:val="18"/>
          <w:szCs w:val="18"/>
          <w:lang w:val="es-ES_tradnl"/>
        </w:rPr>
      </w:pPr>
      <w:r w:rsidRPr="004D34F6">
        <w:rPr>
          <w:rFonts w:ascii="Arial" w:hAnsi="Arial" w:cs="Arial"/>
          <w:sz w:val="18"/>
          <w:szCs w:val="18"/>
          <w:lang w:val="es-ES_tradnl"/>
        </w:rPr>
        <w:t>Modalidad: Temporal.</w:t>
      </w:r>
    </w:p>
    <w:p w:rsidR="003F31A5" w:rsidRPr="004D34F6" w:rsidRDefault="003F31A5" w:rsidP="003F31A5">
      <w:pPr>
        <w:pStyle w:val="Prrafodelista"/>
        <w:numPr>
          <w:ilvl w:val="0"/>
          <w:numId w:val="31"/>
        </w:numPr>
        <w:spacing w:before="60" w:line="240" w:lineRule="auto"/>
        <w:ind w:left="426" w:hanging="350"/>
        <w:jc w:val="both"/>
        <w:rPr>
          <w:rFonts w:ascii="Arial" w:hAnsi="Arial" w:cs="Arial"/>
          <w:sz w:val="18"/>
          <w:szCs w:val="18"/>
          <w:lang w:val="es-ES_tradnl"/>
        </w:rPr>
      </w:pPr>
      <w:r w:rsidRPr="004D34F6">
        <w:rPr>
          <w:rFonts w:ascii="Arial" w:hAnsi="Arial" w:cs="Arial"/>
          <w:sz w:val="18"/>
          <w:szCs w:val="18"/>
          <w:lang w:val="es-ES_tradnl"/>
        </w:rPr>
        <w:t>Tipo de seguro: Garantía de producción</w:t>
      </w:r>
    </w:p>
    <w:p w:rsidR="003F31A5" w:rsidRPr="00FC105C" w:rsidRDefault="003F31A5" w:rsidP="003F31A5">
      <w:pPr>
        <w:pStyle w:val="Prrafodelista"/>
        <w:numPr>
          <w:ilvl w:val="0"/>
          <w:numId w:val="31"/>
        </w:numPr>
        <w:spacing w:before="60" w:line="240" w:lineRule="auto"/>
        <w:ind w:left="426" w:hanging="350"/>
        <w:jc w:val="both"/>
        <w:rPr>
          <w:rFonts w:ascii="Arial" w:hAnsi="Arial" w:cs="Arial"/>
          <w:sz w:val="18"/>
          <w:szCs w:val="18"/>
          <w:lang w:val="es-ES_tradnl"/>
        </w:rPr>
      </w:pPr>
      <w:r w:rsidRPr="00363E38">
        <w:rPr>
          <w:rFonts w:ascii="Arial" w:hAnsi="Arial" w:cs="Arial"/>
          <w:sz w:val="18"/>
          <w:szCs w:val="18"/>
          <w:lang w:val="es-ES_tradnl"/>
        </w:rPr>
        <w:t xml:space="preserve">Vigencia: </w:t>
      </w:r>
      <w:r>
        <w:rPr>
          <w:rFonts w:ascii="Arial" w:hAnsi="Arial" w:cs="Arial"/>
          <w:sz w:val="18"/>
          <w:szCs w:val="18"/>
          <w:lang w:val="es-ES_tradnl"/>
        </w:rPr>
        <w:t xml:space="preserve">A partir del Fallo emitido y </w:t>
      </w:r>
      <w:r w:rsidRPr="00FC105C">
        <w:rPr>
          <w:rFonts w:ascii="Arial" w:hAnsi="Arial" w:cs="Arial"/>
          <w:sz w:val="18"/>
          <w:szCs w:val="18"/>
          <w:lang w:val="es-ES_tradnl"/>
        </w:rPr>
        <w:t>hasta al 30 de abril de 2024</w:t>
      </w:r>
    </w:p>
    <w:tbl>
      <w:tblPr>
        <w:tblW w:w="10159" w:type="dxa"/>
        <w:tblInd w:w="-356" w:type="dxa"/>
        <w:tblCellMar>
          <w:left w:w="70" w:type="dxa"/>
          <w:right w:w="70" w:type="dxa"/>
        </w:tblCellMar>
        <w:tblLook w:val="04A0" w:firstRow="1" w:lastRow="0" w:firstColumn="1" w:lastColumn="0" w:noHBand="0" w:noVBand="1"/>
      </w:tblPr>
      <w:tblGrid>
        <w:gridCol w:w="710"/>
        <w:gridCol w:w="997"/>
        <w:gridCol w:w="704"/>
        <w:gridCol w:w="850"/>
        <w:gridCol w:w="851"/>
        <w:gridCol w:w="992"/>
        <w:gridCol w:w="851"/>
        <w:gridCol w:w="850"/>
        <w:gridCol w:w="851"/>
        <w:gridCol w:w="710"/>
        <w:gridCol w:w="952"/>
        <w:gridCol w:w="841"/>
      </w:tblGrid>
      <w:tr w:rsidR="003F31A5" w:rsidRPr="00DA31D9" w:rsidTr="006811D5">
        <w:trPr>
          <w:trHeight w:val="375"/>
        </w:trPr>
        <w:tc>
          <w:tcPr>
            <w:tcW w:w="10159" w:type="dxa"/>
            <w:gridSpan w:val="12"/>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 xml:space="preserve">                 CULTIVOS DE TEMPORAL</w:t>
            </w:r>
            <w:r>
              <w:rPr>
                <w:rFonts w:ascii="Arial" w:hAnsi="Arial" w:cs="Arial"/>
                <w:b/>
                <w:bCs/>
                <w:color w:val="000000"/>
                <w:sz w:val="14"/>
                <w:szCs w:val="14"/>
              </w:rPr>
              <w:t xml:space="preserve"> </w:t>
            </w:r>
            <w:r w:rsidRPr="00DA31D9">
              <w:rPr>
                <w:rFonts w:ascii="Arial" w:hAnsi="Arial" w:cs="Arial"/>
                <w:b/>
                <w:bCs/>
                <w:color w:val="000000"/>
                <w:sz w:val="14"/>
                <w:szCs w:val="14"/>
              </w:rPr>
              <w:t>S I N A L O A 2 0 2 3</w:t>
            </w:r>
          </w:p>
        </w:tc>
      </w:tr>
      <w:tr w:rsidR="003F31A5" w:rsidRPr="00DA31D9" w:rsidTr="006811D5">
        <w:trPr>
          <w:trHeight w:val="289"/>
        </w:trPr>
        <w:tc>
          <w:tcPr>
            <w:tcW w:w="710" w:type="dxa"/>
            <w:vMerge w:val="restart"/>
            <w:tcBorders>
              <w:top w:val="nil"/>
              <w:left w:val="single" w:sz="8" w:space="0" w:color="auto"/>
              <w:bottom w:val="single" w:sz="8" w:space="0" w:color="000000"/>
              <w:right w:val="single" w:sz="8" w:space="0" w:color="auto"/>
            </w:tcBorders>
            <w:shd w:val="clear" w:color="000000" w:fill="FFF2CC"/>
            <w:noWrap/>
            <w:vAlign w:val="center"/>
            <w:hideMark/>
          </w:tcPr>
          <w:p w:rsidR="003F31A5" w:rsidRPr="00DA31D9" w:rsidRDefault="003F31A5" w:rsidP="006811D5">
            <w:pPr>
              <w:spacing w:after="0" w:line="240" w:lineRule="auto"/>
              <w:ind w:hanging="69"/>
              <w:jc w:val="center"/>
              <w:rPr>
                <w:rFonts w:ascii="Arial" w:hAnsi="Arial" w:cs="Arial"/>
                <w:b/>
                <w:bCs/>
                <w:color w:val="000000"/>
                <w:sz w:val="14"/>
                <w:szCs w:val="14"/>
              </w:rPr>
            </w:pPr>
            <w:r w:rsidRPr="00DA31D9">
              <w:rPr>
                <w:rFonts w:ascii="Arial" w:hAnsi="Arial" w:cs="Arial"/>
                <w:b/>
                <w:bCs/>
                <w:color w:val="000000"/>
                <w:sz w:val="14"/>
                <w:szCs w:val="14"/>
              </w:rPr>
              <w:t>CICLO</w:t>
            </w:r>
          </w:p>
        </w:tc>
        <w:tc>
          <w:tcPr>
            <w:tcW w:w="4394" w:type="dxa"/>
            <w:gridSpan w:val="5"/>
            <w:vMerge w:val="restart"/>
            <w:tcBorders>
              <w:top w:val="single" w:sz="8" w:space="0" w:color="auto"/>
              <w:left w:val="single" w:sz="8" w:space="0" w:color="auto"/>
              <w:bottom w:val="single" w:sz="8" w:space="0" w:color="000000"/>
              <w:right w:val="single" w:sz="8" w:space="0" w:color="000000"/>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PRIMAVERA – VERANO</w:t>
            </w:r>
          </w:p>
        </w:tc>
        <w:tc>
          <w:tcPr>
            <w:tcW w:w="3262" w:type="dxa"/>
            <w:gridSpan w:val="4"/>
            <w:vMerge w:val="restart"/>
            <w:tcBorders>
              <w:top w:val="single" w:sz="8" w:space="0" w:color="auto"/>
              <w:left w:val="single" w:sz="8" w:space="0" w:color="auto"/>
              <w:bottom w:val="single" w:sz="8" w:space="0" w:color="000000"/>
              <w:right w:val="single" w:sz="8" w:space="0" w:color="000000"/>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OTOÑO-INVIERNO</w:t>
            </w:r>
          </w:p>
        </w:tc>
        <w:tc>
          <w:tcPr>
            <w:tcW w:w="952" w:type="dxa"/>
            <w:vMerge w:val="restart"/>
            <w:tcBorders>
              <w:top w:val="nil"/>
              <w:left w:val="single" w:sz="8" w:space="0" w:color="000000"/>
              <w:bottom w:val="nil"/>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PERENNES</w:t>
            </w:r>
          </w:p>
        </w:tc>
        <w:tc>
          <w:tcPr>
            <w:tcW w:w="841" w:type="dxa"/>
            <w:vMerge w:val="restart"/>
            <w:tcBorders>
              <w:top w:val="nil"/>
              <w:left w:val="single" w:sz="8" w:space="0" w:color="auto"/>
              <w:bottom w:val="nil"/>
              <w:right w:val="single" w:sz="8" w:space="0" w:color="auto"/>
            </w:tcBorders>
            <w:shd w:val="clear" w:color="000000" w:fill="FFF2CC"/>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r>
      <w:tr w:rsidR="003F31A5" w:rsidRPr="00DA31D9" w:rsidTr="006811D5">
        <w:trPr>
          <w:trHeight w:val="385"/>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4394" w:type="dxa"/>
            <w:gridSpan w:val="5"/>
            <w:vMerge/>
            <w:tcBorders>
              <w:top w:val="single" w:sz="8" w:space="0" w:color="auto"/>
              <w:left w:val="single" w:sz="8" w:space="0" w:color="auto"/>
              <w:bottom w:val="single" w:sz="8" w:space="0" w:color="000000"/>
              <w:right w:val="single" w:sz="8" w:space="0" w:color="000000"/>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3262" w:type="dxa"/>
            <w:gridSpan w:val="4"/>
            <w:vMerge/>
            <w:tcBorders>
              <w:top w:val="single" w:sz="8" w:space="0" w:color="auto"/>
              <w:left w:val="single" w:sz="8" w:space="0" w:color="auto"/>
              <w:bottom w:val="single" w:sz="8" w:space="0" w:color="000000"/>
              <w:right w:val="single" w:sz="8" w:space="0" w:color="000000"/>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952" w:type="dxa"/>
            <w:vMerge/>
            <w:tcBorders>
              <w:top w:val="nil"/>
              <w:left w:val="single" w:sz="8" w:space="0" w:color="000000"/>
              <w:bottom w:val="nil"/>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841" w:type="dxa"/>
            <w:vMerge/>
            <w:tcBorders>
              <w:top w:val="nil"/>
              <w:left w:val="single" w:sz="8" w:space="0" w:color="auto"/>
              <w:bottom w:val="nil"/>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r>
      <w:tr w:rsidR="003F31A5" w:rsidRPr="00DA31D9" w:rsidTr="006811D5">
        <w:trPr>
          <w:trHeight w:val="289"/>
        </w:trPr>
        <w:tc>
          <w:tcPr>
            <w:tcW w:w="710" w:type="dxa"/>
            <w:vMerge w:val="restart"/>
            <w:tcBorders>
              <w:top w:val="nil"/>
              <w:left w:val="single" w:sz="8" w:space="0" w:color="auto"/>
              <w:bottom w:val="single" w:sz="8" w:space="0" w:color="000000"/>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 </w:t>
            </w:r>
          </w:p>
        </w:tc>
        <w:tc>
          <w:tcPr>
            <w:tcW w:w="997" w:type="dxa"/>
            <w:vMerge w:val="restart"/>
            <w:tcBorders>
              <w:top w:val="nil"/>
              <w:left w:val="single" w:sz="8" w:space="0" w:color="auto"/>
              <w:bottom w:val="single" w:sz="8" w:space="0" w:color="000000"/>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Municipio</w:t>
            </w:r>
          </w:p>
        </w:tc>
        <w:tc>
          <w:tcPr>
            <w:tcW w:w="704"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Ajonjolí</w:t>
            </w:r>
          </w:p>
        </w:tc>
        <w:tc>
          <w:tcPr>
            <w:tcW w:w="850"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Cacahuate</w:t>
            </w:r>
          </w:p>
        </w:tc>
        <w:tc>
          <w:tcPr>
            <w:tcW w:w="851"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Maíz grano</w:t>
            </w:r>
          </w:p>
        </w:tc>
        <w:tc>
          <w:tcPr>
            <w:tcW w:w="992"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Sorgo grano</w:t>
            </w:r>
          </w:p>
        </w:tc>
        <w:tc>
          <w:tcPr>
            <w:tcW w:w="851"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Cártamo</w:t>
            </w:r>
          </w:p>
        </w:tc>
        <w:tc>
          <w:tcPr>
            <w:tcW w:w="850"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Frijol</w:t>
            </w:r>
          </w:p>
        </w:tc>
        <w:tc>
          <w:tcPr>
            <w:tcW w:w="851"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Garbanzo grano</w:t>
            </w:r>
          </w:p>
        </w:tc>
        <w:tc>
          <w:tcPr>
            <w:tcW w:w="710"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Sorgo grano</w:t>
            </w:r>
          </w:p>
        </w:tc>
        <w:tc>
          <w:tcPr>
            <w:tcW w:w="952"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Mango</w:t>
            </w:r>
          </w:p>
        </w:tc>
        <w:tc>
          <w:tcPr>
            <w:tcW w:w="841" w:type="dxa"/>
            <w:vMerge w:val="restart"/>
            <w:tcBorders>
              <w:top w:val="nil"/>
              <w:left w:val="single" w:sz="8" w:space="0" w:color="auto"/>
              <w:bottom w:val="single" w:sz="8" w:space="0" w:color="000000"/>
              <w:right w:val="single" w:sz="8" w:space="0" w:color="auto"/>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Total por Municipio</w:t>
            </w:r>
          </w:p>
        </w:tc>
      </w:tr>
      <w:tr w:rsidR="003F31A5" w:rsidRPr="00DA31D9" w:rsidTr="006811D5">
        <w:trPr>
          <w:trHeight w:val="385"/>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997"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704"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952"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c>
          <w:tcPr>
            <w:tcW w:w="841"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b/>
                <w:bCs/>
                <w:color w:val="000000"/>
                <w:sz w:val="14"/>
                <w:szCs w:val="14"/>
              </w:rPr>
            </w:pPr>
          </w:p>
        </w:tc>
      </w:tr>
      <w:tr w:rsidR="003F31A5" w:rsidRPr="00DA31D9" w:rsidTr="006811D5">
        <w:trPr>
          <w:trHeight w:val="300"/>
        </w:trPr>
        <w:tc>
          <w:tcPr>
            <w:tcW w:w="1015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H   E   C   T   Á   R   E   A   S</w:t>
            </w:r>
          </w:p>
        </w:tc>
      </w:tr>
      <w:tr w:rsidR="003F31A5" w:rsidRPr="00DA31D9" w:rsidTr="006811D5">
        <w:trPr>
          <w:trHeight w:val="36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7" w:type="dxa"/>
            <w:tcBorders>
              <w:top w:val="nil"/>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proofErr w:type="spellStart"/>
            <w:r w:rsidRPr="00DA31D9">
              <w:rPr>
                <w:rFonts w:ascii="Arial" w:hAnsi="Arial" w:cs="Arial"/>
                <w:color w:val="000000"/>
                <w:sz w:val="14"/>
                <w:szCs w:val="14"/>
              </w:rPr>
              <w:t>Badiraguato</w:t>
            </w:r>
            <w:proofErr w:type="spellEnd"/>
          </w:p>
        </w:tc>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992"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1,900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600</w:t>
            </w:r>
          </w:p>
        </w:tc>
        <w:tc>
          <w:tcPr>
            <w:tcW w:w="71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nil"/>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3,500.00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nil"/>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Concordia</w:t>
            </w:r>
          </w:p>
        </w:tc>
        <w:tc>
          <w:tcPr>
            <w:tcW w:w="704"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2,200</w:t>
            </w:r>
          </w:p>
        </w:tc>
        <w:tc>
          <w:tcPr>
            <w:tcW w:w="992"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71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750</w:t>
            </w:r>
          </w:p>
        </w:tc>
        <w:tc>
          <w:tcPr>
            <w:tcW w:w="952"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841" w:type="dxa"/>
            <w:tcBorders>
              <w:top w:val="nil"/>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3,950.00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single" w:sz="8" w:space="0" w:color="auto"/>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proofErr w:type="spellStart"/>
            <w:r w:rsidRPr="00DA31D9">
              <w:rPr>
                <w:rFonts w:ascii="Arial" w:hAnsi="Arial" w:cs="Arial"/>
                <w:color w:val="000000"/>
                <w:sz w:val="14"/>
                <w:szCs w:val="14"/>
              </w:rPr>
              <w:t>Cosalá</w:t>
            </w:r>
            <w:proofErr w:type="spellEnd"/>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1,200</w:t>
            </w:r>
          </w:p>
        </w:tc>
        <w:tc>
          <w:tcPr>
            <w:tcW w:w="992"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2,200.00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nil"/>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Culiacán</w:t>
            </w:r>
          </w:p>
        </w:tc>
        <w:tc>
          <w:tcPr>
            <w:tcW w:w="704"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1,300</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2,000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992"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5,700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1,500</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1,050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700</w:t>
            </w:r>
          </w:p>
        </w:tc>
        <w:tc>
          <w:tcPr>
            <w:tcW w:w="71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550</w:t>
            </w:r>
          </w:p>
        </w:tc>
        <w:tc>
          <w:tcPr>
            <w:tcW w:w="952"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nil"/>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13,800.00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single" w:sz="8" w:space="0" w:color="auto"/>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proofErr w:type="spellStart"/>
            <w:r w:rsidRPr="00DA31D9">
              <w:rPr>
                <w:rFonts w:ascii="Arial" w:hAnsi="Arial" w:cs="Arial"/>
                <w:color w:val="000000"/>
                <w:sz w:val="14"/>
                <w:szCs w:val="14"/>
              </w:rPr>
              <w:t>Choix</w:t>
            </w:r>
            <w:proofErr w:type="spellEnd"/>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2,000</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2,800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600</w:t>
            </w:r>
          </w:p>
        </w:tc>
        <w:tc>
          <w:tcPr>
            <w:tcW w:w="992"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1,700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7,100.00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nil"/>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proofErr w:type="spellStart"/>
            <w:r w:rsidRPr="00DA31D9">
              <w:rPr>
                <w:rFonts w:ascii="Arial" w:hAnsi="Arial" w:cs="Arial"/>
                <w:color w:val="000000"/>
                <w:sz w:val="14"/>
                <w:szCs w:val="14"/>
              </w:rPr>
              <w:t>Elota</w:t>
            </w:r>
            <w:proofErr w:type="spellEnd"/>
          </w:p>
        </w:tc>
        <w:tc>
          <w:tcPr>
            <w:tcW w:w="704"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850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550</w:t>
            </w:r>
          </w:p>
        </w:tc>
        <w:tc>
          <w:tcPr>
            <w:tcW w:w="952"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nil"/>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1,400.00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single" w:sz="8" w:space="0" w:color="auto"/>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proofErr w:type="spellStart"/>
            <w:r w:rsidRPr="00DA31D9">
              <w:rPr>
                <w:rFonts w:ascii="Arial" w:hAnsi="Arial" w:cs="Arial"/>
                <w:color w:val="000000"/>
                <w:sz w:val="14"/>
                <w:szCs w:val="14"/>
              </w:rPr>
              <w:t>Escuinapa</w:t>
            </w:r>
            <w:proofErr w:type="spellEnd"/>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1,200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1,250</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3,000</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5,450.00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nil"/>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El Fuerte</w:t>
            </w:r>
          </w:p>
        </w:tc>
        <w:tc>
          <w:tcPr>
            <w:tcW w:w="704"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600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800</w:t>
            </w:r>
          </w:p>
        </w:tc>
        <w:tc>
          <w:tcPr>
            <w:tcW w:w="850" w:type="dxa"/>
            <w:tcBorders>
              <w:top w:val="nil"/>
              <w:left w:val="nil"/>
              <w:bottom w:val="nil"/>
              <w:right w:val="nil"/>
            </w:tcBorders>
            <w:shd w:val="clear" w:color="000000" w:fill="FFFFFF"/>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p>
        </w:tc>
        <w:tc>
          <w:tcPr>
            <w:tcW w:w="952"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nil"/>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1,400.00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single" w:sz="8" w:space="0" w:color="auto"/>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Mazatlán</w:t>
            </w: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2,300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3,300.00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nil"/>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proofErr w:type="spellStart"/>
            <w:r w:rsidRPr="00DA31D9">
              <w:rPr>
                <w:rFonts w:ascii="Arial" w:hAnsi="Arial" w:cs="Arial"/>
                <w:color w:val="000000"/>
                <w:sz w:val="14"/>
                <w:szCs w:val="14"/>
              </w:rPr>
              <w:t>Mocorito</w:t>
            </w:r>
            <w:proofErr w:type="spellEnd"/>
          </w:p>
        </w:tc>
        <w:tc>
          <w:tcPr>
            <w:tcW w:w="704"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6,000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992"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3,900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800</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950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1,500</w:t>
            </w:r>
          </w:p>
        </w:tc>
        <w:tc>
          <w:tcPr>
            <w:tcW w:w="71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650</w:t>
            </w:r>
          </w:p>
        </w:tc>
        <w:tc>
          <w:tcPr>
            <w:tcW w:w="952"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nil"/>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15,800.00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single" w:sz="8" w:space="0" w:color="auto"/>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Rosario</w:t>
            </w: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3,000</w:t>
            </w:r>
          </w:p>
        </w:tc>
        <w:tc>
          <w:tcPr>
            <w:tcW w:w="992"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950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71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3,000</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6,950.00</w:t>
            </w:r>
          </w:p>
        </w:tc>
      </w:tr>
      <w:tr w:rsidR="003F31A5" w:rsidRPr="00DA31D9" w:rsidTr="006811D5">
        <w:trPr>
          <w:trHeight w:val="432"/>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nil"/>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Salvador Alvarado</w:t>
            </w:r>
          </w:p>
        </w:tc>
        <w:tc>
          <w:tcPr>
            <w:tcW w:w="704"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800</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1,400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800</w:t>
            </w:r>
          </w:p>
        </w:tc>
        <w:tc>
          <w:tcPr>
            <w:tcW w:w="85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1,050</w:t>
            </w:r>
          </w:p>
        </w:tc>
        <w:tc>
          <w:tcPr>
            <w:tcW w:w="851" w:type="dxa"/>
            <w:tcBorders>
              <w:top w:val="nil"/>
              <w:left w:val="single" w:sz="8" w:space="0" w:color="auto"/>
              <w:bottom w:val="nil"/>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1,500</w:t>
            </w:r>
          </w:p>
        </w:tc>
        <w:tc>
          <w:tcPr>
            <w:tcW w:w="710" w:type="dxa"/>
            <w:tcBorders>
              <w:top w:val="nil"/>
              <w:left w:val="nil"/>
              <w:bottom w:val="nil"/>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p>
        </w:tc>
        <w:tc>
          <w:tcPr>
            <w:tcW w:w="952"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nil"/>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5,550.00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single" w:sz="8" w:space="0" w:color="auto"/>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San Ignacio</w:t>
            </w: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2,300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single" w:sz="8" w:space="0" w:color="auto"/>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500</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2,800.00</w:t>
            </w:r>
          </w:p>
        </w:tc>
      </w:tr>
      <w:tr w:rsidR="003F31A5" w:rsidRPr="00DA31D9" w:rsidTr="006811D5">
        <w:trPr>
          <w:trHeight w:val="360"/>
        </w:trPr>
        <w:tc>
          <w:tcPr>
            <w:tcW w:w="710" w:type="dxa"/>
            <w:vMerge/>
            <w:tcBorders>
              <w:top w:val="nil"/>
              <w:left w:val="single" w:sz="8" w:space="0" w:color="auto"/>
              <w:bottom w:val="single" w:sz="8" w:space="0" w:color="000000"/>
              <w:right w:val="single" w:sz="8" w:space="0" w:color="auto"/>
            </w:tcBorders>
            <w:vAlign w:val="center"/>
            <w:hideMark/>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Sinaloa</w:t>
            </w:r>
          </w:p>
        </w:tc>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1,000</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2,100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1,850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nil"/>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4,950.00</w:t>
            </w:r>
          </w:p>
        </w:tc>
      </w:tr>
      <w:tr w:rsidR="003F31A5" w:rsidRPr="00DA31D9" w:rsidTr="006811D5">
        <w:trPr>
          <w:trHeight w:val="360"/>
        </w:trPr>
        <w:tc>
          <w:tcPr>
            <w:tcW w:w="710"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7" w:type="dxa"/>
            <w:tcBorders>
              <w:top w:val="nil"/>
              <w:left w:val="nil"/>
              <w:bottom w:val="single" w:sz="8" w:space="0" w:color="auto"/>
              <w:right w:val="nil"/>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Angostura</w:t>
            </w:r>
          </w:p>
        </w:tc>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500</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677.9</w:t>
            </w:r>
          </w:p>
        </w:tc>
        <w:tc>
          <w:tcPr>
            <w:tcW w:w="71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nil"/>
              <w:left w:val="single" w:sz="8" w:space="0" w:color="auto"/>
              <w:bottom w:val="single" w:sz="8" w:space="0" w:color="auto"/>
              <w:right w:val="single" w:sz="8" w:space="0" w:color="auto"/>
            </w:tcBorders>
            <w:shd w:val="clear" w:color="auto" w:fill="auto"/>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1,177.90</w:t>
            </w:r>
          </w:p>
        </w:tc>
      </w:tr>
      <w:tr w:rsidR="003F31A5" w:rsidRPr="00DA31D9" w:rsidTr="006811D5">
        <w:trPr>
          <w:trHeight w:val="360"/>
        </w:trPr>
        <w:tc>
          <w:tcPr>
            <w:tcW w:w="710"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7" w:type="dxa"/>
            <w:tcBorders>
              <w:top w:val="nil"/>
              <w:left w:val="nil"/>
              <w:bottom w:val="single" w:sz="8" w:space="0" w:color="auto"/>
              <w:right w:val="nil"/>
            </w:tcBorders>
            <w:shd w:val="clear" w:color="000000" w:fill="FFFFFF"/>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Ahome</w:t>
            </w:r>
          </w:p>
        </w:tc>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580</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580</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nil"/>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800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710" w:type="dxa"/>
            <w:tcBorders>
              <w:top w:val="nil"/>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nil"/>
              <w:left w:val="single" w:sz="8" w:space="0" w:color="auto"/>
              <w:bottom w:val="single" w:sz="8" w:space="0" w:color="auto"/>
              <w:right w:val="single" w:sz="8" w:space="0" w:color="auto"/>
            </w:tcBorders>
            <w:shd w:val="clear" w:color="000000" w:fill="FFFFFF"/>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single" w:sz="8" w:space="0" w:color="auto"/>
              <w:right w:val="single" w:sz="8" w:space="0" w:color="auto"/>
            </w:tcBorders>
            <w:shd w:val="clear" w:color="000000" w:fill="FFFFFF"/>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1,960.00</w:t>
            </w:r>
          </w:p>
        </w:tc>
      </w:tr>
      <w:tr w:rsidR="003F31A5" w:rsidRPr="00DA31D9" w:rsidTr="006811D5">
        <w:trPr>
          <w:trHeight w:val="360"/>
        </w:trPr>
        <w:tc>
          <w:tcPr>
            <w:tcW w:w="710" w:type="dxa"/>
            <w:tcBorders>
              <w:top w:val="nil"/>
              <w:left w:val="single" w:sz="8" w:space="0" w:color="auto"/>
              <w:bottom w:val="nil"/>
              <w:right w:val="single" w:sz="8" w:space="0" w:color="auto"/>
            </w:tcBorders>
            <w:shd w:val="clear" w:color="auto" w:fill="auto"/>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7" w:type="dxa"/>
            <w:tcBorders>
              <w:top w:val="nil"/>
              <w:left w:val="nil"/>
              <w:bottom w:val="single" w:sz="8" w:space="0" w:color="auto"/>
              <w:right w:val="nil"/>
            </w:tcBorders>
            <w:shd w:val="clear" w:color="000000" w:fill="FFFFFF"/>
            <w:vAlign w:val="center"/>
            <w:hideMark/>
          </w:tcPr>
          <w:p w:rsidR="003F31A5" w:rsidRPr="00DA31D9" w:rsidRDefault="003F31A5" w:rsidP="006811D5">
            <w:pPr>
              <w:spacing w:after="0" w:line="240" w:lineRule="auto"/>
              <w:rPr>
                <w:rFonts w:ascii="Arial" w:hAnsi="Arial" w:cs="Arial"/>
                <w:color w:val="000000"/>
                <w:sz w:val="14"/>
                <w:szCs w:val="14"/>
              </w:rPr>
            </w:pPr>
            <w:proofErr w:type="spellStart"/>
            <w:r w:rsidRPr="00DA31D9">
              <w:rPr>
                <w:rFonts w:ascii="Arial" w:hAnsi="Arial" w:cs="Arial"/>
                <w:color w:val="000000"/>
                <w:sz w:val="14"/>
                <w:szCs w:val="14"/>
              </w:rPr>
              <w:t>Navolato</w:t>
            </w:r>
            <w:proofErr w:type="spellEnd"/>
          </w:p>
        </w:tc>
        <w:tc>
          <w:tcPr>
            <w:tcW w:w="704" w:type="dxa"/>
            <w:tcBorders>
              <w:top w:val="nil"/>
              <w:left w:val="single" w:sz="8" w:space="0" w:color="auto"/>
              <w:bottom w:val="single" w:sz="8" w:space="0" w:color="auto"/>
              <w:right w:val="single" w:sz="8" w:space="0" w:color="auto"/>
            </w:tcBorders>
            <w:shd w:val="clear" w:color="000000" w:fill="FFFFFF"/>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992" w:type="dxa"/>
            <w:tcBorders>
              <w:top w:val="nil"/>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 </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 </w:t>
            </w:r>
          </w:p>
        </w:tc>
        <w:tc>
          <w:tcPr>
            <w:tcW w:w="850" w:type="dxa"/>
            <w:tcBorders>
              <w:top w:val="nil"/>
              <w:left w:val="nil"/>
              <w:bottom w:val="single" w:sz="8" w:space="0" w:color="auto"/>
              <w:right w:val="nil"/>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150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3F31A5" w:rsidRPr="00DA31D9" w:rsidRDefault="003F31A5" w:rsidP="006811D5">
            <w:pPr>
              <w:spacing w:after="0" w:line="240" w:lineRule="auto"/>
              <w:jc w:val="center"/>
              <w:rPr>
                <w:rFonts w:ascii="Arial" w:hAnsi="Arial" w:cs="Arial"/>
                <w:color w:val="000000"/>
                <w:sz w:val="14"/>
                <w:szCs w:val="14"/>
              </w:rPr>
            </w:pPr>
            <w:r w:rsidRPr="00DA31D9">
              <w:rPr>
                <w:rFonts w:ascii="Arial" w:hAnsi="Arial" w:cs="Arial"/>
                <w:color w:val="000000"/>
                <w:sz w:val="14"/>
                <w:szCs w:val="14"/>
              </w:rPr>
              <w:t>200</w:t>
            </w:r>
          </w:p>
        </w:tc>
        <w:tc>
          <w:tcPr>
            <w:tcW w:w="710" w:type="dxa"/>
            <w:tcBorders>
              <w:top w:val="nil"/>
              <w:left w:val="nil"/>
              <w:bottom w:val="single" w:sz="8" w:space="0" w:color="auto"/>
              <w:right w:val="nil"/>
            </w:tcBorders>
            <w:shd w:val="clear" w:color="000000" w:fill="FFFFFF"/>
            <w:noWrap/>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952" w:type="dxa"/>
            <w:tcBorders>
              <w:top w:val="nil"/>
              <w:left w:val="single" w:sz="8" w:space="0" w:color="auto"/>
              <w:bottom w:val="single" w:sz="8" w:space="0" w:color="auto"/>
              <w:right w:val="single" w:sz="8" w:space="0" w:color="auto"/>
            </w:tcBorders>
            <w:shd w:val="clear" w:color="000000" w:fill="FFFFFF"/>
            <w:vAlign w:val="center"/>
            <w:hideMark/>
          </w:tcPr>
          <w:p w:rsidR="003F31A5" w:rsidRPr="00DA31D9" w:rsidRDefault="003F31A5" w:rsidP="006811D5">
            <w:pPr>
              <w:spacing w:after="0" w:line="240" w:lineRule="auto"/>
              <w:jc w:val="right"/>
              <w:rPr>
                <w:rFonts w:ascii="Arial" w:hAnsi="Arial" w:cs="Arial"/>
                <w:color w:val="000000"/>
                <w:sz w:val="14"/>
                <w:szCs w:val="14"/>
              </w:rPr>
            </w:pPr>
            <w:r w:rsidRPr="00DA31D9">
              <w:rPr>
                <w:rFonts w:ascii="Arial" w:hAnsi="Arial" w:cs="Arial"/>
                <w:color w:val="000000"/>
                <w:sz w:val="14"/>
                <w:szCs w:val="14"/>
              </w:rPr>
              <w:t> </w:t>
            </w:r>
          </w:p>
        </w:tc>
        <w:tc>
          <w:tcPr>
            <w:tcW w:w="841" w:type="dxa"/>
            <w:tcBorders>
              <w:top w:val="nil"/>
              <w:left w:val="nil"/>
              <w:bottom w:val="single" w:sz="8" w:space="0" w:color="auto"/>
              <w:right w:val="single" w:sz="8" w:space="0" w:color="auto"/>
            </w:tcBorders>
            <w:shd w:val="clear" w:color="000000" w:fill="FFFFFF"/>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350.00</w:t>
            </w:r>
          </w:p>
        </w:tc>
      </w:tr>
      <w:tr w:rsidR="003F31A5" w:rsidRPr="00DA31D9" w:rsidTr="006811D5">
        <w:trPr>
          <w:trHeight w:val="360"/>
        </w:trPr>
        <w:tc>
          <w:tcPr>
            <w:tcW w:w="710" w:type="dxa"/>
            <w:tcBorders>
              <w:top w:val="nil"/>
              <w:left w:val="single" w:sz="8" w:space="0" w:color="auto"/>
              <w:bottom w:val="nil"/>
              <w:right w:val="single" w:sz="8" w:space="0" w:color="auto"/>
            </w:tcBorders>
            <w:shd w:val="clear" w:color="auto" w:fill="auto"/>
            <w:vAlign w:val="center"/>
          </w:tcPr>
          <w:p w:rsidR="003F31A5" w:rsidRPr="00DA31D9" w:rsidRDefault="003F31A5" w:rsidP="006811D5">
            <w:pPr>
              <w:spacing w:after="0" w:line="240" w:lineRule="auto"/>
              <w:rPr>
                <w:rFonts w:ascii="Arial" w:hAnsi="Arial" w:cs="Arial"/>
                <w:color w:val="000000"/>
                <w:sz w:val="14"/>
                <w:szCs w:val="14"/>
              </w:rPr>
            </w:pPr>
          </w:p>
        </w:tc>
        <w:tc>
          <w:tcPr>
            <w:tcW w:w="997" w:type="dxa"/>
            <w:tcBorders>
              <w:top w:val="nil"/>
              <w:left w:val="nil"/>
              <w:bottom w:val="single" w:sz="8" w:space="0" w:color="auto"/>
              <w:right w:val="nil"/>
            </w:tcBorders>
            <w:shd w:val="clear" w:color="000000" w:fill="FFFFFF"/>
            <w:vAlign w:val="center"/>
          </w:tcPr>
          <w:p w:rsidR="003F31A5" w:rsidRPr="00DA31D9" w:rsidRDefault="003F31A5" w:rsidP="006811D5">
            <w:pPr>
              <w:spacing w:after="0" w:line="240" w:lineRule="auto"/>
              <w:rPr>
                <w:rFonts w:ascii="Arial" w:hAnsi="Arial" w:cs="Arial"/>
                <w:color w:val="000000"/>
                <w:sz w:val="14"/>
                <w:szCs w:val="14"/>
              </w:rPr>
            </w:pPr>
            <w:r w:rsidRPr="00DA31D9">
              <w:rPr>
                <w:rFonts w:ascii="Arial" w:hAnsi="Arial" w:cs="Arial"/>
                <w:color w:val="000000"/>
                <w:sz w:val="14"/>
                <w:szCs w:val="14"/>
              </w:rPr>
              <w:t>Guasave</w:t>
            </w:r>
          </w:p>
        </w:tc>
        <w:tc>
          <w:tcPr>
            <w:tcW w:w="704" w:type="dxa"/>
            <w:tcBorders>
              <w:top w:val="nil"/>
              <w:left w:val="single" w:sz="8" w:space="0" w:color="auto"/>
              <w:bottom w:val="single" w:sz="8" w:space="0" w:color="auto"/>
              <w:right w:val="single" w:sz="8" w:space="0" w:color="auto"/>
            </w:tcBorders>
            <w:shd w:val="clear" w:color="000000" w:fill="FFFFFF"/>
            <w:noWrap/>
            <w:vAlign w:val="center"/>
          </w:tcPr>
          <w:p w:rsidR="003F31A5" w:rsidRPr="00DA31D9" w:rsidRDefault="003F31A5" w:rsidP="006811D5">
            <w:pPr>
              <w:spacing w:after="0" w:line="240" w:lineRule="auto"/>
              <w:jc w:val="center"/>
              <w:rPr>
                <w:rFonts w:ascii="Arial" w:hAnsi="Arial" w:cs="Arial"/>
                <w:color w:val="000000"/>
                <w:sz w:val="14"/>
                <w:szCs w:val="14"/>
              </w:rPr>
            </w:pPr>
          </w:p>
        </w:tc>
        <w:tc>
          <w:tcPr>
            <w:tcW w:w="850" w:type="dxa"/>
            <w:tcBorders>
              <w:top w:val="nil"/>
              <w:left w:val="nil"/>
              <w:bottom w:val="single" w:sz="8" w:space="0" w:color="auto"/>
              <w:right w:val="nil"/>
            </w:tcBorders>
            <w:shd w:val="clear" w:color="000000" w:fill="FFFFFF"/>
            <w:noWrap/>
            <w:vAlign w:val="center"/>
          </w:tcPr>
          <w:p w:rsidR="003F31A5" w:rsidRPr="00DA31D9" w:rsidRDefault="003F31A5" w:rsidP="006811D5">
            <w:pPr>
              <w:spacing w:after="0" w:line="240" w:lineRule="auto"/>
              <w:jc w:val="center"/>
              <w:rPr>
                <w:rFonts w:ascii="Arial" w:hAnsi="Arial" w:cs="Arial"/>
                <w:color w:val="000000"/>
                <w:sz w:val="14"/>
                <w:szCs w:val="14"/>
              </w:rPr>
            </w:pP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3F31A5" w:rsidRPr="00DA31D9" w:rsidRDefault="003F31A5" w:rsidP="006811D5">
            <w:pPr>
              <w:spacing w:after="0" w:line="240" w:lineRule="auto"/>
              <w:rPr>
                <w:rFonts w:ascii="Arial" w:hAnsi="Arial" w:cs="Arial"/>
                <w:color w:val="000000"/>
                <w:sz w:val="14"/>
                <w:szCs w:val="14"/>
              </w:rPr>
            </w:pPr>
          </w:p>
        </w:tc>
        <w:tc>
          <w:tcPr>
            <w:tcW w:w="992" w:type="dxa"/>
            <w:tcBorders>
              <w:top w:val="nil"/>
              <w:left w:val="nil"/>
              <w:bottom w:val="single" w:sz="8" w:space="0" w:color="auto"/>
              <w:right w:val="nil"/>
            </w:tcBorders>
            <w:shd w:val="clear" w:color="000000" w:fill="FFFFFF"/>
            <w:noWrap/>
            <w:vAlign w:val="center"/>
          </w:tcPr>
          <w:p w:rsidR="003F31A5" w:rsidRPr="00DA31D9" w:rsidRDefault="003F31A5" w:rsidP="006811D5">
            <w:pPr>
              <w:spacing w:after="0" w:line="240" w:lineRule="auto"/>
              <w:jc w:val="center"/>
              <w:rPr>
                <w:rFonts w:ascii="Arial" w:hAnsi="Arial" w:cs="Arial"/>
                <w:color w:val="000000"/>
                <w:sz w:val="14"/>
                <w:szCs w:val="14"/>
              </w:rPr>
            </w:pP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3F31A5" w:rsidRPr="00DA31D9" w:rsidRDefault="003F31A5" w:rsidP="006811D5">
            <w:pPr>
              <w:spacing w:after="0" w:line="240" w:lineRule="auto"/>
              <w:jc w:val="center"/>
              <w:rPr>
                <w:rFonts w:ascii="Arial" w:hAnsi="Arial" w:cs="Arial"/>
                <w:color w:val="000000"/>
                <w:sz w:val="14"/>
                <w:szCs w:val="14"/>
              </w:rPr>
            </w:pPr>
            <w:r>
              <w:rPr>
                <w:rFonts w:ascii="Arial" w:hAnsi="Arial" w:cs="Arial"/>
                <w:color w:val="000000"/>
                <w:sz w:val="14"/>
                <w:szCs w:val="14"/>
              </w:rPr>
              <w:t>20</w:t>
            </w:r>
          </w:p>
        </w:tc>
        <w:tc>
          <w:tcPr>
            <w:tcW w:w="850" w:type="dxa"/>
            <w:tcBorders>
              <w:top w:val="nil"/>
              <w:left w:val="nil"/>
              <w:bottom w:val="single" w:sz="8" w:space="0" w:color="auto"/>
              <w:right w:val="nil"/>
            </w:tcBorders>
            <w:shd w:val="clear" w:color="auto" w:fill="auto"/>
            <w:noWrap/>
            <w:vAlign w:val="center"/>
          </w:tcPr>
          <w:p w:rsidR="003F31A5" w:rsidRPr="00DA31D9" w:rsidRDefault="003F31A5" w:rsidP="006811D5">
            <w:pPr>
              <w:spacing w:after="0" w:line="240" w:lineRule="auto"/>
              <w:jc w:val="center"/>
              <w:rPr>
                <w:rFonts w:ascii="Arial" w:hAnsi="Arial" w:cs="Arial"/>
                <w:color w:val="000000"/>
                <w:sz w:val="14"/>
                <w:szCs w:val="14"/>
              </w:rPr>
            </w:pP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3F31A5" w:rsidRPr="00DA31D9" w:rsidRDefault="003F31A5" w:rsidP="006811D5">
            <w:pPr>
              <w:spacing w:after="0" w:line="240" w:lineRule="auto"/>
              <w:jc w:val="center"/>
              <w:rPr>
                <w:rFonts w:ascii="Arial" w:hAnsi="Arial" w:cs="Arial"/>
                <w:color w:val="000000"/>
                <w:sz w:val="14"/>
                <w:szCs w:val="14"/>
              </w:rPr>
            </w:pPr>
            <w:r>
              <w:rPr>
                <w:rFonts w:ascii="Arial" w:hAnsi="Arial" w:cs="Arial"/>
                <w:color w:val="000000"/>
                <w:sz w:val="14"/>
                <w:szCs w:val="14"/>
              </w:rPr>
              <w:t>25</w:t>
            </w:r>
          </w:p>
        </w:tc>
        <w:tc>
          <w:tcPr>
            <w:tcW w:w="710" w:type="dxa"/>
            <w:tcBorders>
              <w:top w:val="nil"/>
              <w:left w:val="nil"/>
              <w:bottom w:val="single" w:sz="8" w:space="0" w:color="auto"/>
              <w:right w:val="nil"/>
            </w:tcBorders>
            <w:shd w:val="clear" w:color="000000" w:fill="FFFFFF"/>
            <w:noWrap/>
            <w:vAlign w:val="center"/>
          </w:tcPr>
          <w:p w:rsidR="003F31A5" w:rsidRPr="00DA31D9" w:rsidRDefault="003F31A5" w:rsidP="006811D5">
            <w:pPr>
              <w:spacing w:after="0" w:line="240" w:lineRule="auto"/>
              <w:jc w:val="right"/>
              <w:rPr>
                <w:rFonts w:ascii="Arial" w:hAnsi="Arial" w:cs="Arial"/>
                <w:color w:val="000000"/>
                <w:sz w:val="14"/>
                <w:szCs w:val="14"/>
              </w:rPr>
            </w:pPr>
          </w:p>
        </w:tc>
        <w:tc>
          <w:tcPr>
            <w:tcW w:w="952" w:type="dxa"/>
            <w:tcBorders>
              <w:top w:val="nil"/>
              <w:left w:val="single" w:sz="8" w:space="0" w:color="auto"/>
              <w:bottom w:val="single" w:sz="8" w:space="0" w:color="auto"/>
              <w:right w:val="single" w:sz="8" w:space="0" w:color="auto"/>
            </w:tcBorders>
            <w:shd w:val="clear" w:color="000000" w:fill="FFFFFF"/>
            <w:vAlign w:val="center"/>
          </w:tcPr>
          <w:p w:rsidR="003F31A5" w:rsidRPr="00DA31D9" w:rsidRDefault="003F31A5" w:rsidP="006811D5">
            <w:pPr>
              <w:spacing w:after="0" w:line="240" w:lineRule="auto"/>
              <w:jc w:val="right"/>
              <w:rPr>
                <w:rFonts w:ascii="Arial" w:hAnsi="Arial" w:cs="Arial"/>
                <w:color w:val="000000"/>
                <w:sz w:val="14"/>
                <w:szCs w:val="14"/>
              </w:rPr>
            </w:pPr>
          </w:p>
        </w:tc>
        <w:tc>
          <w:tcPr>
            <w:tcW w:w="841" w:type="dxa"/>
            <w:tcBorders>
              <w:top w:val="nil"/>
              <w:left w:val="nil"/>
              <w:bottom w:val="single" w:sz="8" w:space="0" w:color="auto"/>
              <w:right w:val="single" w:sz="8" w:space="0" w:color="auto"/>
            </w:tcBorders>
            <w:shd w:val="clear" w:color="000000" w:fill="FFFFFF"/>
            <w:noWrap/>
            <w:vAlign w:val="center"/>
          </w:tcPr>
          <w:p w:rsidR="003F31A5" w:rsidRPr="00DA31D9" w:rsidRDefault="003F31A5" w:rsidP="006811D5">
            <w:pPr>
              <w:spacing w:after="0" w:line="240" w:lineRule="auto"/>
              <w:jc w:val="right"/>
              <w:rPr>
                <w:rFonts w:ascii="Arial" w:hAnsi="Arial" w:cs="Arial"/>
                <w:b/>
                <w:bCs/>
                <w:color w:val="000000"/>
                <w:sz w:val="14"/>
                <w:szCs w:val="14"/>
              </w:rPr>
            </w:pPr>
            <w:r>
              <w:rPr>
                <w:rFonts w:ascii="Arial" w:hAnsi="Arial" w:cs="Arial"/>
                <w:b/>
                <w:bCs/>
                <w:color w:val="000000"/>
                <w:sz w:val="14"/>
                <w:szCs w:val="14"/>
              </w:rPr>
              <w:t>45.00</w:t>
            </w:r>
          </w:p>
        </w:tc>
      </w:tr>
      <w:tr w:rsidR="003F31A5" w:rsidRPr="00DA31D9" w:rsidTr="006811D5">
        <w:trPr>
          <w:trHeight w:val="315"/>
        </w:trPr>
        <w:tc>
          <w:tcPr>
            <w:tcW w:w="1707" w:type="dxa"/>
            <w:gridSpan w:val="2"/>
            <w:tcBorders>
              <w:top w:val="single" w:sz="8" w:space="0" w:color="auto"/>
              <w:left w:val="single" w:sz="8" w:space="0" w:color="auto"/>
              <w:bottom w:val="single" w:sz="8" w:space="0" w:color="auto"/>
              <w:right w:val="single" w:sz="8" w:space="0" w:color="000000"/>
            </w:tcBorders>
            <w:shd w:val="clear" w:color="000000" w:fill="FFF2CC"/>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Total</w:t>
            </w:r>
          </w:p>
        </w:tc>
        <w:tc>
          <w:tcPr>
            <w:tcW w:w="704"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6,680.00</w:t>
            </w:r>
          </w:p>
        </w:tc>
        <w:tc>
          <w:tcPr>
            <w:tcW w:w="850"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14,080.00</w:t>
            </w:r>
          </w:p>
        </w:tc>
        <w:tc>
          <w:tcPr>
            <w:tcW w:w="851"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10,000.00</w:t>
            </w:r>
          </w:p>
        </w:tc>
        <w:tc>
          <w:tcPr>
            <w:tcW w:w="992"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22,900.00</w:t>
            </w:r>
          </w:p>
        </w:tc>
        <w:tc>
          <w:tcPr>
            <w:tcW w:w="851"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4,420.00</w:t>
            </w:r>
          </w:p>
        </w:tc>
        <w:tc>
          <w:tcPr>
            <w:tcW w:w="850"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6,150.00</w:t>
            </w:r>
          </w:p>
        </w:tc>
        <w:tc>
          <w:tcPr>
            <w:tcW w:w="851"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5,202.90</w:t>
            </w:r>
          </w:p>
        </w:tc>
        <w:tc>
          <w:tcPr>
            <w:tcW w:w="710"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4,250.00</w:t>
            </w:r>
          </w:p>
        </w:tc>
        <w:tc>
          <w:tcPr>
            <w:tcW w:w="952"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center"/>
              <w:rPr>
                <w:rFonts w:ascii="Arial" w:hAnsi="Arial" w:cs="Arial"/>
                <w:b/>
                <w:bCs/>
                <w:color w:val="000000"/>
                <w:sz w:val="14"/>
                <w:szCs w:val="14"/>
              </w:rPr>
            </w:pPr>
            <w:r w:rsidRPr="00DA31D9">
              <w:rPr>
                <w:rFonts w:ascii="Arial" w:hAnsi="Arial" w:cs="Arial"/>
                <w:b/>
                <w:bCs/>
                <w:color w:val="000000"/>
                <w:sz w:val="14"/>
                <w:szCs w:val="14"/>
              </w:rPr>
              <w:t>8,000.00</w:t>
            </w:r>
          </w:p>
        </w:tc>
        <w:tc>
          <w:tcPr>
            <w:tcW w:w="841" w:type="dxa"/>
            <w:tcBorders>
              <w:top w:val="nil"/>
              <w:left w:val="nil"/>
              <w:bottom w:val="single" w:sz="8" w:space="0" w:color="auto"/>
              <w:right w:val="single" w:sz="8" w:space="0" w:color="auto"/>
            </w:tcBorders>
            <w:shd w:val="clear" w:color="000000" w:fill="FFF2CC"/>
            <w:noWrap/>
            <w:vAlign w:val="center"/>
            <w:hideMark/>
          </w:tcPr>
          <w:p w:rsidR="003F31A5" w:rsidRPr="00DA31D9" w:rsidRDefault="003F31A5" w:rsidP="006811D5">
            <w:pPr>
              <w:spacing w:after="0" w:line="240" w:lineRule="auto"/>
              <w:jc w:val="right"/>
              <w:rPr>
                <w:rFonts w:ascii="Arial" w:hAnsi="Arial" w:cs="Arial"/>
                <w:b/>
                <w:bCs/>
                <w:color w:val="000000"/>
                <w:sz w:val="14"/>
                <w:szCs w:val="14"/>
              </w:rPr>
            </w:pPr>
            <w:r w:rsidRPr="00DA31D9">
              <w:rPr>
                <w:rFonts w:ascii="Arial" w:hAnsi="Arial" w:cs="Arial"/>
                <w:b/>
                <w:bCs/>
                <w:color w:val="000000"/>
                <w:sz w:val="14"/>
                <w:szCs w:val="14"/>
              </w:rPr>
              <w:t>81,682.90</w:t>
            </w:r>
          </w:p>
        </w:tc>
      </w:tr>
    </w:tbl>
    <w:p w:rsidR="003F31A5" w:rsidRDefault="003F31A5" w:rsidP="003F31A5">
      <w:pPr>
        <w:pStyle w:val="Prrafodelista"/>
        <w:rPr>
          <w:rFonts w:ascii="Arial" w:hAnsi="Arial" w:cs="Arial"/>
          <w:sz w:val="18"/>
          <w:szCs w:val="18"/>
          <w:lang w:val="es-ES_tradnl"/>
        </w:rPr>
      </w:pP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 xml:space="preserve">Requisitos con los que deberá cumplir la Compañía Aseguradora que resulte elegida mediante el proceso de licitación pública, siendo el principal que demuestre legalmente que es especialista en atención al Sector Agrícola. Los demás requisitos se detallan a continuación:  </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 xml:space="preserve">1.- Pronóstico Meteorológico Diario. </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2.-Pronóstico Estacional del Clima.</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3.-Estadisticas del Clima Observado.</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4.-Regionalización de Áreas de Cultivos Bajo Estrés Climático.</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5.-Acceso a Portal Electrónico de Información Agroclimática.</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6.-Clausula Pronto Pago ante un evento catastrófico, conforme al informe satelital.</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7.-Tener presencia a Nivel Nacional y contar con al menos 4 oficinas en los municipios de Culiacán, Ahome, Guasave y Salvador Alvarado, del Estado de Sinaloa, señalando el domicilio y teléfono de cada oficina.</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8.-Servicio de Asesoría para la toma de decisiones</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9.-Alertas de eventos meteorológicos extremos, pronósticos de corto y mediano plazo.</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10.-Base de Datos climáticos y agropecuarios</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 xml:space="preserve">11.-Demostrar que cuenta con recurso humano expertos en modelación de clima y agricultura (Agrónomos, Biólogos, Físicos, Geógrafos, Matemáticos, Climatólogos) mediante </w:t>
      </w:r>
      <w:proofErr w:type="spellStart"/>
      <w:r w:rsidRPr="00805BCD">
        <w:rPr>
          <w:rFonts w:ascii="Arial" w:hAnsi="Arial" w:cs="Arial"/>
          <w:sz w:val="18"/>
          <w:szCs w:val="18"/>
          <w:lang w:val="es-ES_tradnl" w:eastAsia="es-ES"/>
        </w:rPr>
        <w:t>curriculum</w:t>
      </w:r>
      <w:proofErr w:type="spellEnd"/>
      <w:r w:rsidRPr="00805BCD">
        <w:rPr>
          <w:rFonts w:ascii="Arial" w:hAnsi="Arial" w:cs="Arial"/>
          <w:sz w:val="18"/>
          <w:szCs w:val="18"/>
          <w:lang w:val="es-ES_tradnl" w:eastAsia="es-ES"/>
        </w:rPr>
        <w:t xml:space="preserve"> vitae.</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12.-Capacidad para estar enviando boletines climáticos a petición de la Secretaría.</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13.-Bono de Baja Siniestralidad del 10% cuando la siniestralidad sea menor al 40% de la prima pagada.</w:t>
      </w:r>
    </w:p>
    <w:p w:rsidR="003F31A5" w:rsidRPr="00805BCD"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14.-Calificación Internacional Favorable realizada por una Agencia de Calificación Crediticia.</w:t>
      </w:r>
    </w:p>
    <w:p w:rsidR="003F31A5" w:rsidRDefault="003F31A5" w:rsidP="003F31A5">
      <w:pPr>
        <w:jc w:val="both"/>
        <w:rPr>
          <w:rFonts w:ascii="Arial" w:hAnsi="Arial" w:cs="Arial"/>
          <w:sz w:val="18"/>
          <w:szCs w:val="18"/>
          <w:lang w:val="es-ES_tradnl" w:eastAsia="es-ES"/>
        </w:rPr>
      </w:pPr>
      <w:r w:rsidRPr="00805BCD">
        <w:rPr>
          <w:rFonts w:ascii="Arial" w:hAnsi="Arial" w:cs="Arial"/>
          <w:sz w:val="18"/>
          <w:szCs w:val="18"/>
          <w:lang w:val="es-ES_tradnl" w:eastAsia="es-ES"/>
        </w:rPr>
        <w:t xml:space="preserve">15.- Experiencia en el ramo comprobable mediante constancia o escrito de otras instituciones y/o empresas con la que hayan contratado el servicio con una antigüedad mínima de 3 (tres) años, la cual puede ser en copia simple o copia certificada ante notario público.   </w:t>
      </w:r>
    </w:p>
    <w:p w:rsidR="003F31A5" w:rsidRDefault="003F31A5" w:rsidP="003F31A5">
      <w:pPr>
        <w:jc w:val="both"/>
        <w:rPr>
          <w:rFonts w:ascii="Arial" w:hAnsi="Arial" w:cs="Arial"/>
          <w:sz w:val="18"/>
          <w:szCs w:val="18"/>
          <w:lang w:val="es-ES_tradnl" w:eastAsia="es-ES"/>
        </w:rPr>
      </w:pPr>
      <w:r>
        <w:rPr>
          <w:rFonts w:ascii="Arial" w:hAnsi="Arial" w:cs="Arial"/>
          <w:sz w:val="18"/>
          <w:szCs w:val="18"/>
          <w:lang w:val="es-ES_tradnl" w:eastAsia="es-ES"/>
        </w:rPr>
        <w:t xml:space="preserve">16.- </w:t>
      </w:r>
      <w:r w:rsidRPr="00A93187">
        <w:rPr>
          <w:rFonts w:ascii="Arial" w:hAnsi="Arial" w:cs="Arial"/>
          <w:sz w:val="18"/>
          <w:szCs w:val="18"/>
          <w:lang w:val="es-ES_tradnl" w:eastAsia="es-ES"/>
        </w:rPr>
        <w:t>Que el beneficiario de las pólizas emitidas para Seguro Agrícola Catastrófico</w:t>
      </w:r>
      <w:r>
        <w:rPr>
          <w:rFonts w:ascii="Arial" w:hAnsi="Arial" w:cs="Arial"/>
          <w:sz w:val="18"/>
          <w:szCs w:val="18"/>
          <w:lang w:val="es-ES_tradnl" w:eastAsia="es-ES"/>
        </w:rPr>
        <w:t xml:space="preserve"> </w:t>
      </w:r>
      <w:r w:rsidRPr="00A93187">
        <w:rPr>
          <w:rFonts w:ascii="Arial" w:hAnsi="Arial" w:cs="Arial"/>
          <w:sz w:val="18"/>
          <w:szCs w:val="18"/>
          <w:lang w:val="es-ES_tradnl" w:eastAsia="es-ES"/>
        </w:rPr>
        <w:t>202</w:t>
      </w:r>
      <w:r>
        <w:rPr>
          <w:rFonts w:ascii="Arial" w:hAnsi="Arial" w:cs="Arial"/>
          <w:sz w:val="18"/>
          <w:szCs w:val="18"/>
          <w:lang w:val="es-ES_tradnl" w:eastAsia="es-ES"/>
        </w:rPr>
        <w:t>3</w:t>
      </w:r>
      <w:r w:rsidRPr="00A93187">
        <w:rPr>
          <w:rFonts w:ascii="Arial" w:hAnsi="Arial" w:cs="Arial"/>
          <w:sz w:val="18"/>
          <w:szCs w:val="18"/>
          <w:lang w:val="es-ES_tradnl" w:eastAsia="es-ES"/>
        </w:rPr>
        <w:t>/202</w:t>
      </w:r>
      <w:r>
        <w:rPr>
          <w:rFonts w:ascii="Arial" w:hAnsi="Arial" w:cs="Arial"/>
          <w:sz w:val="18"/>
          <w:szCs w:val="18"/>
          <w:lang w:val="es-ES_tradnl" w:eastAsia="es-ES"/>
        </w:rPr>
        <w:t xml:space="preserve">4, se emitan a nombre del asegurado GOBIERNO DEL ESTADO DE SINALOA y como beneficiario preferente a la SECRETARÍA DE AGRICULTURA Y GANADERÍA </w:t>
      </w:r>
      <w:r w:rsidRPr="00EB3C27">
        <w:rPr>
          <w:rFonts w:ascii="Arial" w:hAnsi="Arial" w:cs="Arial"/>
          <w:sz w:val="18"/>
          <w:szCs w:val="18"/>
          <w:lang w:val="es-ES_tradnl" w:eastAsia="es-ES"/>
        </w:rPr>
        <w:t>INDEMNIZACIÓN Y SALVAMENTO DE CULTIVOS 202</w:t>
      </w:r>
      <w:r>
        <w:rPr>
          <w:rFonts w:ascii="Arial" w:hAnsi="Arial" w:cs="Arial"/>
          <w:sz w:val="18"/>
          <w:szCs w:val="18"/>
          <w:lang w:val="es-ES_tradnl" w:eastAsia="es-ES"/>
        </w:rPr>
        <w:t>3.</w:t>
      </w:r>
    </w:p>
    <w:p w:rsidR="003F31A5" w:rsidRDefault="003F31A5" w:rsidP="003F31A5">
      <w:pPr>
        <w:jc w:val="both"/>
        <w:rPr>
          <w:rFonts w:ascii="Arial" w:hAnsi="Arial" w:cs="Arial"/>
          <w:sz w:val="18"/>
          <w:szCs w:val="18"/>
          <w:lang w:val="es-ES_tradnl" w:eastAsia="es-ES"/>
        </w:rPr>
      </w:pPr>
      <w:r>
        <w:rPr>
          <w:rFonts w:ascii="Arial" w:hAnsi="Arial" w:cs="Arial"/>
          <w:sz w:val="18"/>
          <w:szCs w:val="18"/>
          <w:lang w:val="es-ES_tradnl" w:eastAsia="es-ES"/>
        </w:rPr>
        <w:t>17.- Q</w:t>
      </w:r>
      <w:r w:rsidRPr="00EB3C27">
        <w:rPr>
          <w:rFonts w:ascii="Arial" w:hAnsi="Arial" w:cs="Arial"/>
          <w:sz w:val="18"/>
          <w:szCs w:val="18"/>
          <w:lang w:val="es-ES_tradnl" w:eastAsia="es-ES"/>
        </w:rPr>
        <w:t>ue el apoyo a Mujeres en Zonales Rurales</w:t>
      </w:r>
      <w:r>
        <w:rPr>
          <w:rFonts w:ascii="Arial" w:hAnsi="Arial" w:cs="Arial"/>
          <w:sz w:val="18"/>
          <w:szCs w:val="18"/>
          <w:lang w:val="es-ES_tradnl" w:eastAsia="es-ES"/>
        </w:rPr>
        <w:t xml:space="preserve"> sea como mínimo el 5% del costo total de la prima. </w:t>
      </w:r>
    </w:p>
    <w:p w:rsidR="003F31A5" w:rsidRPr="00C8144A" w:rsidRDefault="003F31A5" w:rsidP="003F31A5">
      <w:pPr>
        <w:jc w:val="both"/>
        <w:rPr>
          <w:rFonts w:ascii="Arial" w:hAnsi="Arial" w:cs="Arial"/>
          <w:sz w:val="18"/>
          <w:szCs w:val="18"/>
          <w:lang w:val="es-ES_tradnl" w:eastAsia="es-ES"/>
        </w:rPr>
      </w:pPr>
      <w:r>
        <w:rPr>
          <w:rFonts w:ascii="Arial" w:hAnsi="Arial" w:cs="Arial"/>
          <w:sz w:val="18"/>
          <w:szCs w:val="18"/>
          <w:lang w:val="es-ES_tradnl" w:eastAsia="es-ES"/>
        </w:rPr>
        <w:t xml:space="preserve">18.- </w:t>
      </w:r>
      <w:r w:rsidRPr="00C8144A">
        <w:rPr>
          <w:rFonts w:ascii="Arial" w:hAnsi="Arial" w:cs="Arial"/>
          <w:sz w:val="18"/>
          <w:szCs w:val="18"/>
          <w:lang w:val="es-ES_tradnl" w:eastAsia="es-ES"/>
        </w:rPr>
        <w:t xml:space="preserve">Apoyo para gastos funerarios a 20,000 Productores </w:t>
      </w:r>
      <w:proofErr w:type="spellStart"/>
      <w:r w:rsidRPr="00C8144A">
        <w:rPr>
          <w:rFonts w:ascii="Arial" w:hAnsi="Arial" w:cs="Arial"/>
          <w:sz w:val="18"/>
          <w:szCs w:val="18"/>
          <w:lang w:val="es-ES_tradnl" w:eastAsia="es-ES"/>
        </w:rPr>
        <w:t>Temporaleros</w:t>
      </w:r>
      <w:proofErr w:type="spellEnd"/>
      <w:r>
        <w:rPr>
          <w:rFonts w:ascii="Arial" w:hAnsi="Arial" w:cs="Arial"/>
          <w:sz w:val="18"/>
          <w:szCs w:val="18"/>
          <w:lang w:val="es-ES_tradnl" w:eastAsia="es-ES"/>
        </w:rPr>
        <w:t>.</w:t>
      </w:r>
    </w:p>
    <w:p w:rsidR="003F31A5" w:rsidRPr="00805BCD" w:rsidRDefault="003F31A5" w:rsidP="003F31A5">
      <w:pPr>
        <w:jc w:val="both"/>
        <w:rPr>
          <w:rFonts w:ascii="Arial" w:hAnsi="Arial" w:cs="Arial"/>
          <w:sz w:val="18"/>
          <w:szCs w:val="18"/>
          <w:lang w:val="es-ES_tradnl" w:eastAsia="es-ES"/>
        </w:rPr>
      </w:pPr>
      <w:proofErr w:type="gramStart"/>
      <w:r w:rsidRPr="00805BCD">
        <w:rPr>
          <w:rFonts w:ascii="Arial" w:hAnsi="Arial" w:cs="Arial"/>
          <w:sz w:val="18"/>
          <w:szCs w:val="18"/>
          <w:lang w:val="es-ES_tradnl" w:eastAsia="es-ES"/>
        </w:rPr>
        <w:t>Nota.-</w:t>
      </w:r>
      <w:proofErr w:type="gramEnd"/>
      <w:r w:rsidRPr="00805BCD">
        <w:rPr>
          <w:rFonts w:ascii="Arial" w:hAnsi="Arial" w:cs="Arial"/>
          <w:sz w:val="18"/>
          <w:szCs w:val="18"/>
          <w:lang w:val="es-ES_tradnl" w:eastAsia="es-ES"/>
        </w:rPr>
        <w:t xml:space="preserve"> Es importante destacar que la naturaleza de lo solicitado, es en base tanto en los datos históricos de cultivos de temporal y los requerimientos técnicos y operativos que la Secretaría de Agricultura y Ganadería como Unidad Responsable e Instancia Ejecutora del Programa del Seguro Agrícola Catastrófico, necesita para el alcance de los objetivos trazados en el caso que nos ocupa.</w:t>
      </w:r>
    </w:p>
    <w:p w:rsidR="00E16811" w:rsidRDefault="00E16811" w:rsidP="00E16811">
      <w:pPr>
        <w:spacing w:after="0" w:line="240" w:lineRule="auto"/>
        <w:jc w:val="center"/>
        <w:rPr>
          <w:rFonts w:ascii="Arial" w:eastAsia="Times New Roman" w:hAnsi="Arial" w:cs="Arial"/>
          <w:b/>
          <w:lang w:eastAsia="es-MX"/>
        </w:rPr>
      </w:pPr>
    </w:p>
    <w:p w:rsidR="003F31A5" w:rsidRPr="00E16811" w:rsidRDefault="003F31A5"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99540B" w:rsidRDefault="0099540B" w:rsidP="005D49C6">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3F31A5" w:rsidRDefault="003F31A5" w:rsidP="005D49C6">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5D49C6" w:rsidRPr="00E16811" w:rsidRDefault="005D49C6" w:rsidP="005D49C6">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5D49C6" w:rsidRPr="00E16811" w:rsidRDefault="005D49C6" w:rsidP="005D49C6">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5D49C6" w:rsidRPr="00E16811" w:rsidRDefault="005D49C6" w:rsidP="005D49C6">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5D49C6" w:rsidRPr="00A71C86" w:rsidRDefault="005D49C6" w:rsidP="005D49C6">
      <w:pPr>
        <w:spacing w:after="0" w:line="240" w:lineRule="auto"/>
        <w:jc w:val="center"/>
        <w:rPr>
          <w:rFonts w:ascii="Arial" w:eastAsia="Times New Roman" w:hAnsi="Arial" w:cs="Arial"/>
          <w:b/>
          <w:sz w:val="16"/>
          <w:szCs w:val="16"/>
          <w:lang w:eastAsia="es-MX"/>
        </w:rPr>
      </w:pPr>
    </w:p>
    <w:p w:rsidR="005D49C6" w:rsidRPr="00A71C86" w:rsidRDefault="005D49C6" w:rsidP="005D49C6">
      <w:pPr>
        <w:pStyle w:val="Ttulo"/>
        <w:rPr>
          <w:sz w:val="20"/>
          <w:szCs w:val="20"/>
        </w:rPr>
      </w:pPr>
      <w:r w:rsidRPr="00A71C86">
        <w:rPr>
          <w:sz w:val="20"/>
          <w:szCs w:val="20"/>
        </w:rPr>
        <w:t>Convocatoria a la Licitación Pública Nacional Número GES 15/2023</w:t>
      </w:r>
    </w:p>
    <w:p w:rsidR="005D49C6" w:rsidRPr="00A71C86" w:rsidRDefault="005D49C6" w:rsidP="005D49C6">
      <w:pPr>
        <w:tabs>
          <w:tab w:val="center" w:pos="4678"/>
        </w:tabs>
        <w:suppressAutoHyphens/>
        <w:spacing w:after="0" w:line="240" w:lineRule="auto"/>
        <w:jc w:val="both"/>
        <w:rPr>
          <w:rFonts w:ascii="Arial" w:eastAsia="Times New Roman" w:hAnsi="Arial" w:cs="Times New Roman"/>
          <w:b/>
          <w:bCs/>
          <w:spacing w:val="-3"/>
          <w:sz w:val="20"/>
          <w:szCs w:val="20"/>
          <w:lang w:val="es-ES_tradnl" w:eastAsia="x-none"/>
        </w:rPr>
      </w:pPr>
      <w:r w:rsidRPr="00A71C86">
        <w:rPr>
          <w:rFonts w:ascii="Arial" w:eastAsia="Times New Roman" w:hAnsi="Arial" w:cs="Arial"/>
          <w:b/>
          <w:bCs/>
          <w:spacing w:val="-3"/>
          <w:sz w:val="20"/>
          <w:szCs w:val="20"/>
          <w:shd w:val="clear" w:color="auto" w:fill="FFFFFF"/>
          <w:lang w:val="es-ES_tradnl" w:eastAsia="x-none"/>
        </w:rPr>
        <w:t>Contratación de seguro agrícola catastrófico, solicitada por la Secretaría de Agricultura y Ganadería</w:t>
      </w:r>
    </w:p>
    <w:p w:rsidR="005D49C6" w:rsidRPr="008B331E" w:rsidRDefault="005D49C6" w:rsidP="008B331E">
      <w:pPr>
        <w:pStyle w:val="Ttulo"/>
        <w:rPr>
          <w:sz w:val="20"/>
          <w:szCs w:val="20"/>
        </w:rPr>
      </w:pPr>
    </w:p>
    <w:p w:rsidR="00E16811" w:rsidRPr="008B331E" w:rsidRDefault="00E16811" w:rsidP="008B331E">
      <w:pPr>
        <w:pStyle w:val="Ttulo"/>
        <w:rPr>
          <w:sz w:val="20"/>
          <w:szCs w:val="20"/>
        </w:rPr>
      </w:pPr>
      <w:r w:rsidRPr="008B331E">
        <w:rPr>
          <w:sz w:val="20"/>
          <w:szCs w:val="20"/>
        </w:rPr>
        <w:t>Anexo II</w:t>
      </w:r>
    </w:p>
    <w:p w:rsidR="00E16811" w:rsidRPr="008B331E" w:rsidRDefault="00E16811" w:rsidP="008B331E">
      <w:pPr>
        <w:pStyle w:val="Ttulo"/>
        <w:rPr>
          <w:sz w:val="20"/>
          <w:szCs w:val="20"/>
        </w:rPr>
      </w:pPr>
      <w:r w:rsidRPr="008B331E">
        <w:rPr>
          <w:sz w:val="20"/>
          <w:szCs w:val="20"/>
        </w:rPr>
        <w:t>Propuesta Económica</w:t>
      </w:r>
    </w:p>
    <w:p w:rsidR="00E16811" w:rsidRPr="00E16811" w:rsidRDefault="00E16811" w:rsidP="00E16811">
      <w:pPr>
        <w:spacing w:after="0" w:line="240" w:lineRule="auto"/>
        <w:jc w:val="center"/>
        <w:rPr>
          <w:rFonts w:ascii="Arial" w:eastAsia="Times New Roman" w:hAnsi="Arial" w:cs="Arial"/>
          <w:b/>
          <w:lang w:eastAsia="es-MX"/>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670"/>
        <w:gridCol w:w="1134"/>
        <w:gridCol w:w="1276"/>
      </w:tblGrid>
      <w:tr w:rsidR="00E16811" w:rsidRPr="00E16811" w:rsidTr="009E3E30">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16811" w:rsidRPr="00E16811" w:rsidRDefault="00E16811" w:rsidP="00E16811">
            <w:pPr>
              <w:spacing w:after="0"/>
              <w:jc w:val="center"/>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PART.</w:t>
            </w:r>
          </w:p>
        </w:tc>
        <w:tc>
          <w:tcPr>
            <w:tcW w:w="709" w:type="dxa"/>
            <w:tcBorders>
              <w:top w:val="single" w:sz="4" w:space="0" w:color="000000"/>
              <w:left w:val="single" w:sz="4" w:space="0" w:color="000000"/>
              <w:bottom w:val="single" w:sz="4" w:space="0" w:color="000000"/>
              <w:right w:val="single" w:sz="4" w:space="0" w:color="auto"/>
            </w:tcBorders>
            <w:shd w:val="clear" w:color="auto" w:fill="A6A6A6"/>
            <w:vAlign w:val="center"/>
          </w:tcPr>
          <w:p w:rsidR="00E16811" w:rsidRPr="00E16811" w:rsidRDefault="00E16811" w:rsidP="00E16811">
            <w:pPr>
              <w:spacing w:after="0"/>
              <w:jc w:val="center"/>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CANT.</w:t>
            </w:r>
          </w:p>
        </w:tc>
        <w:tc>
          <w:tcPr>
            <w:tcW w:w="5670" w:type="dxa"/>
            <w:tcBorders>
              <w:top w:val="single" w:sz="4" w:space="0" w:color="000000"/>
              <w:left w:val="single" w:sz="4" w:space="0" w:color="auto"/>
              <w:bottom w:val="single" w:sz="4" w:space="0" w:color="000000"/>
              <w:right w:val="single" w:sz="4" w:space="0" w:color="000000"/>
            </w:tcBorders>
            <w:shd w:val="clear" w:color="auto" w:fill="A6A6A6"/>
            <w:vAlign w:val="center"/>
          </w:tcPr>
          <w:p w:rsidR="00E16811" w:rsidRPr="00E16811" w:rsidRDefault="00E16811" w:rsidP="00E16811">
            <w:pPr>
              <w:spacing w:before="120" w:after="120"/>
              <w:jc w:val="center"/>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DESCRIPCIÓN</w:t>
            </w:r>
          </w:p>
        </w:tc>
        <w:tc>
          <w:tcPr>
            <w:tcW w:w="1134" w:type="dxa"/>
            <w:tcBorders>
              <w:top w:val="single" w:sz="4" w:space="0" w:color="000000"/>
              <w:left w:val="single" w:sz="4" w:space="0" w:color="auto"/>
              <w:bottom w:val="single" w:sz="4" w:space="0" w:color="000000"/>
              <w:right w:val="single" w:sz="4" w:space="0" w:color="000000"/>
            </w:tcBorders>
            <w:shd w:val="clear" w:color="auto" w:fill="A6A6A6"/>
            <w:vAlign w:val="center"/>
          </w:tcPr>
          <w:p w:rsidR="00E16811" w:rsidRPr="00E16811" w:rsidRDefault="00E16811" w:rsidP="00E16811">
            <w:pPr>
              <w:spacing w:after="0"/>
              <w:jc w:val="center"/>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PRECIO UNITARIO</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16811" w:rsidRPr="00E16811" w:rsidRDefault="00E16811" w:rsidP="00E16811">
            <w:pPr>
              <w:spacing w:after="0"/>
              <w:jc w:val="center"/>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IMPORTE</w:t>
            </w:r>
          </w:p>
        </w:tc>
      </w:tr>
      <w:tr w:rsidR="00E16811" w:rsidRPr="00E16811" w:rsidTr="008B331E">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811" w:rsidRPr="00E16811" w:rsidRDefault="002B2AF6" w:rsidP="00E16811">
            <w:pPr>
              <w:spacing w:after="0"/>
              <w:jc w:val="center"/>
              <w:rPr>
                <w:rFonts w:ascii="Arial" w:eastAsia="Times New Roman" w:hAnsi="Arial" w:cs="Arial"/>
                <w:bCs/>
                <w:sz w:val="16"/>
                <w:szCs w:val="16"/>
                <w:lang w:eastAsia="es-MX"/>
              </w:rPr>
            </w:pPr>
            <w:r>
              <w:rPr>
                <w:rFonts w:ascii="Arial" w:eastAsia="Times New Roman" w:hAnsi="Arial" w:cs="Arial"/>
                <w:bCs/>
                <w:sz w:val="16"/>
                <w:szCs w:val="16"/>
                <w:lang w:eastAsia="es-MX"/>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E16811" w:rsidRPr="00E16811" w:rsidRDefault="002B2AF6" w:rsidP="00E16811">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w:t>
            </w: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rsidR="00E16811" w:rsidRPr="008B331E" w:rsidRDefault="002B2AF6" w:rsidP="002B2AF6">
            <w:pPr>
              <w:spacing w:after="0" w:line="240" w:lineRule="auto"/>
              <w:rPr>
                <w:rFonts w:ascii="Arial" w:eastAsia="Times New Roman" w:hAnsi="Arial" w:cs="Arial"/>
                <w:bCs/>
                <w:sz w:val="20"/>
                <w:szCs w:val="20"/>
                <w:lang w:eastAsia="es-MX"/>
              </w:rPr>
            </w:pPr>
            <w:r w:rsidRPr="008B331E">
              <w:rPr>
                <w:rFonts w:ascii="Arial" w:hAnsi="Arial" w:cs="Arial"/>
                <w:spacing w:val="-2"/>
                <w:sz w:val="20"/>
                <w:szCs w:val="20"/>
                <w:lang w:val="es-ES_tradnl"/>
              </w:rPr>
              <w:t>C</w:t>
            </w:r>
            <w:r w:rsidRPr="008B331E">
              <w:rPr>
                <w:rFonts w:ascii="Arial" w:eastAsia="Times New Roman" w:hAnsi="Arial" w:cs="Arial"/>
                <w:bCs/>
                <w:spacing w:val="-3"/>
                <w:sz w:val="20"/>
                <w:szCs w:val="20"/>
                <w:shd w:val="clear" w:color="auto" w:fill="FFFFFF"/>
                <w:lang w:val="es-ES_tradnl" w:eastAsia="x-none"/>
              </w:rPr>
              <w:t>ontratación de seguro agrícola catastrófico</w:t>
            </w:r>
            <w:r w:rsidRPr="008B331E">
              <w:rPr>
                <w:rFonts w:ascii="Arial" w:hAnsi="Arial" w:cs="Arial"/>
                <w:bCs/>
                <w:spacing w:val="-3"/>
                <w:sz w:val="20"/>
                <w:szCs w:val="20"/>
                <w:shd w:val="clear" w:color="auto" w:fill="FFFFFF"/>
                <w:lang w:val="es-ES_tradnl" w:eastAsia="x-none"/>
              </w:rPr>
              <w:t xml:space="preserve"> para 81,682.90 Hectáreas, dedicadas a los cultivos de Primavera–Verano, Otoño–Invierno y Perennes de temporal en 18 municipios del Estado de Sinaloa</w:t>
            </w:r>
            <w:r w:rsidRPr="008B331E">
              <w:rPr>
                <w:rFonts w:ascii="Arial" w:eastAsia="Times New Roman" w:hAnsi="Arial" w:cs="Arial"/>
                <w:bCs/>
                <w:spacing w:val="-3"/>
                <w:sz w:val="20"/>
                <w:szCs w:val="20"/>
                <w:shd w:val="clear" w:color="auto" w:fill="FFFFFF"/>
                <w:lang w:val="es-ES_tradnl" w:eastAsia="x-none"/>
              </w:rPr>
              <w:t xml:space="preserve">. Vigencia a partir del fallo emitido y hasta el </w:t>
            </w:r>
            <w:r w:rsidR="008B331E">
              <w:rPr>
                <w:rFonts w:ascii="Arial" w:eastAsia="Times New Roman" w:hAnsi="Arial" w:cs="Arial"/>
                <w:bCs/>
                <w:spacing w:val="-3"/>
                <w:sz w:val="20"/>
                <w:szCs w:val="20"/>
                <w:shd w:val="clear" w:color="auto" w:fill="FFFFFF"/>
                <w:lang w:val="es-ES_tradnl" w:eastAsia="x-none"/>
              </w:rPr>
              <w:t>30 de abril de 2024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r>
      <w:tr w:rsidR="00E16811" w:rsidRPr="00E16811" w:rsidTr="009E3E3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6811" w:rsidRPr="00E16811" w:rsidRDefault="00E16811" w:rsidP="00E16811">
            <w:pPr>
              <w:spacing w:after="0"/>
              <w:jc w:val="center"/>
              <w:rPr>
                <w:rFonts w:ascii="Arial" w:eastAsia="Times New Roman" w:hAnsi="Arial" w:cs="Arial"/>
                <w:bCs/>
                <w:sz w:val="16"/>
                <w:szCs w:val="16"/>
                <w:lang w:eastAsia="es-MX"/>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16811" w:rsidRPr="00E16811" w:rsidRDefault="00E16811" w:rsidP="00E16811">
            <w:pPr>
              <w:spacing w:after="0" w:line="240" w:lineRule="auto"/>
              <w:jc w:val="center"/>
              <w:rPr>
                <w:rFonts w:ascii="Arial" w:eastAsia="Times New Roman" w:hAnsi="Arial" w:cs="Arial"/>
                <w:bCs/>
                <w:sz w:val="16"/>
                <w:szCs w:val="16"/>
                <w:lang w:eastAsia="es-MX"/>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rsidR="00E16811" w:rsidRPr="00E16811" w:rsidRDefault="00E16811" w:rsidP="00E16811">
            <w:pPr>
              <w:spacing w:after="0" w:line="240" w:lineRule="auto"/>
              <w:rPr>
                <w:rFonts w:ascii="Arial" w:eastAsia="Times New Roman" w:hAnsi="Arial" w:cs="Arial"/>
                <w:bCs/>
                <w:sz w:val="16"/>
                <w:szCs w:val="16"/>
                <w:lang w:eastAsia="es-MX"/>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r>
      <w:tr w:rsidR="00E16811" w:rsidRPr="00E16811" w:rsidTr="009E3E30">
        <w:trPr>
          <w:trHeight w:val="257"/>
        </w:trPr>
        <w:tc>
          <w:tcPr>
            <w:tcW w:w="7196" w:type="dxa"/>
            <w:gridSpan w:val="3"/>
            <w:tcBorders>
              <w:top w:val="single" w:sz="12" w:space="0" w:color="000000"/>
              <w:left w:val="single" w:sz="4" w:space="0" w:color="000000"/>
              <w:bottom w:val="single" w:sz="4" w:space="0" w:color="000000"/>
              <w:right w:val="single" w:sz="4" w:space="0" w:color="000000"/>
            </w:tcBorders>
            <w:shd w:val="clear" w:color="auto" w:fill="auto"/>
            <w:vAlign w:val="bottom"/>
          </w:tcPr>
          <w:p w:rsidR="00E16811" w:rsidRPr="00E16811" w:rsidRDefault="00E16811" w:rsidP="00E16811">
            <w:pPr>
              <w:spacing w:after="0" w:line="240" w:lineRule="auto"/>
              <w:jc w:val="right"/>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SUB-TOTAL</w:t>
            </w:r>
          </w:p>
        </w:tc>
        <w:tc>
          <w:tcPr>
            <w:tcW w:w="1134" w:type="dxa"/>
            <w:tcBorders>
              <w:top w:val="single" w:sz="12" w:space="0" w:color="000000"/>
              <w:left w:val="single" w:sz="4" w:space="0" w:color="auto"/>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r>
      <w:tr w:rsidR="00E16811" w:rsidRPr="00E16811" w:rsidTr="009E3E30">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16811" w:rsidRPr="00E16811" w:rsidRDefault="00E16811" w:rsidP="00E16811">
            <w:pPr>
              <w:spacing w:after="0" w:line="240" w:lineRule="auto"/>
              <w:jc w:val="right"/>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I.V.A.</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r>
      <w:tr w:rsidR="00E16811" w:rsidRPr="00E16811" w:rsidTr="009E3E30">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16811" w:rsidRPr="00E16811" w:rsidRDefault="00E16811" w:rsidP="00E16811">
            <w:pPr>
              <w:spacing w:after="0" w:line="240" w:lineRule="auto"/>
              <w:jc w:val="right"/>
              <w:rPr>
                <w:rFonts w:ascii="Arial" w:eastAsia="Times New Roman" w:hAnsi="Arial" w:cs="Arial"/>
                <w:b/>
                <w:bCs/>
                <w:sz w:val="16"/>
                <w:szCs w:val="16"/>
                <w:lang w:eastAsia="es-MX"/>
              </w:rPr>
            </w:pPr>
            <w:r w:rsidRPr="00E16811">
              <w:rPr>
                <w:rFonts w:ascii="Arial" w:eastAsia="Times New Roman" w:hAnsi="Arial" w:cs="Arial"/>
                <w:b/>
                <w:bCs/>
                <w:sz w:val="16"/>
                <w:szCs w:val="16"/>
                <w:lang w:eastAsia="es-MX"/>
              </w:rPr>
              <w:t>TOTAL</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E16811" w:rsidRDefault="00E16811" w:rsidP="00E16811">
            <w:pPr>
              <w:spacing w:after="0"/>
              <w:jc w:val="right"/>
              <w:rPr>
                <w:rFonts w:ascii="Arial" w:eastAsia="Times New Roman" w:hAnsi="Arial" w:cs="Arial"/>
                <w:bCs/>
                <w:sz w:val="16"/>
                <w:szCs w:val="16"/>
                <w:lang w:eastAsia="es-MX"/>
              </w:rPr>
            </w:pPr>
          </w:p>
        </w:tc>
      </w:tr>
    </w:tbl>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8B331E" w:rsidRPr="00E16811" w:rsidRDefault="008B331E" w:rsidP="008B331E">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8B331E" w:rsidRPr="00E16811" w:rsidRDefault="008B331E" w:rsidP="008B331E">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8B331E" w:rsidRPr="00E16811" w:rsidRDefault="008B331E" w:rsidP="008B331E">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8B331E" w:rsidRPr="00A71C86" w:rsidRDefault="008B331E" w:rsidP="008B331E">
      <w:pPr>
        <w:spacing w:after="0" w:line="240" w:lineRule="auto"/>
        <w:jc w:val="center"/>
        <w:rPr>
          <w:rFonts w:ascii="Arial" w:eastAsia="Times New Roman" w:hAnsi="Arial" w:cs="Arial"/>
          <w:b/>
          <w:sz w:val="16"/>
          <w:szCs w:val="16"/>
          <w:lang w:eastAsia="es-MX"/>
        </w:rPr>
      </w:pPr>
    </w:p>
    <w:p w:rsidR="008B331E" w:rsidRPr="00A71C86" w:rsidRDefault="008B331E" w:rsidP="008B331E">
      <w:pPr>
        <w:pStyle w:val="Ttulo"/>
        <w:rPr>
          <w:sz w:val="20"/>
          <w:szCs w:val="20"/>
        </w:rPr>
      </w:pPr>
      <w:r w:rsidRPr="00A71C86">
        <w:rPr>
          <w:sz w:val="20"/>
          <w:szCs w:val="20"/>
        </w:rPr>
        <w:t>Convocatoria a la Licitación Pública Nacional Número GES 15/2023</w:t>
      </w:r>
    </w:p>
    <w:p w:rsidR="008B331E" w:rsidRPr="00A71C86" w:rsidRDefault="008B331E" w:rsidP="008B331E">
      <w:pPr>
        <w:tabs>
          <w:tab w:val="center" w:pos="4678"/>
        </w:tabs>
        <w:suppressAutoHyphens/>
        <w:spacing w:after="0" w:line="240" w:lineRule="auto"/>
        <w:jc w:val="both"/>
        <w:rPr>
          <w:rFonts w:ascii="Arial" w:eastAsia="Times New Roman" w:hAnsi="Arial" w:cs="Times New Roman"/>
          <w:b/>
          <w:bCs/>
          <w:spacing w:val="-3"/>
          <w:sz w:val="20"/>
          <w:szCs w:val="20"/>
          <w:lang w:val="es-ES_tradnl" w:eastAsia="x-none"/>
        </w:rPr>
      </w:pPr>
      <w:r w:rsidRPr="00A71C86">
        <w:rPr>
          <w:rFonts w:ascii="Arial" w:eastAsia="Times New Roman" w:hAnsi="Arial" w:cs="Arial"/>
          <w:b/>
          <w:bCs/>
          <w:spacing w:val="-3"/>
          <w:sz w:val="20"/>
          <w:szCs w:val="20"/>
          <w:shd w:val="clear" w:color="auto" w:fill="FFFFFF"/>
          <w:lang w:val="es-ES_tradnl" w:eastAsia="x-none"/>
        </w:rPr>
        <w:t>Contratación de seguro agrícola catastrófico, solicitada por la Secretaría de Agricultura y Ganadería</w:t>
      </w:r>
    </w:p>
    <w:p w:rsidR="00E16811" w:rsidRPr="00E16811" w:rsidRDefault="00E16811" w:rsidP="00E16811">
      <w:pPr>
        <w:tabs>
          <w:tab w:val="left" w:pos="-720"/>
        </w:tabs>
        <w:suppressAutoHyphens/>
        <w:spacing w:after="0" w:line="240" w:lineRule="auto"/>
        <w:jc w:val="center"/>
        <w:rPr>
          <w:rFonts w:ascii="Arial" w:eastAsia="Times New Roman" w:hAnsi="Arial" w:cs="Arial"/>
          <w:b/>
          <w:iCs/>
          <w:sz w:val="2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Anexo III</w:t>
      </w:r>
    </w:p>
    <w:p w:rsidR="00E16811" w:rsidRPr="00E16811" w:rsidRDefault="00E16811" w:rsidP="00E16811">
      <w:pPr>
        <w:spacing w:after="0" w:line="240" w:lineRule="auto"/>
        <w:jc w:val="center"/>
        <w:rPr>
          <w:rFonts w:ascii="Arial" w:eastAsia="Times New Roman" w:hAnsi="Arial" w:cs="Arial"/>
          <w:b/>
          <w:sz w:val="1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Escrito de Participación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18"/>
          <w:szCs w:val="18"/>
          <w:lang w:eastAsia="x-none"/>
        </w:rPr>
      </w:pP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del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 </w:t>
      </w:r>
      <w:r w:rsidRPr="00E16811">
        <w:rPr>
          <w:rFonts w:ascii="Arial" w:eastAsia="Times New Roman" w:hAnsi="Arial" w:cs="Arial"/>
          <w:sz w:val="18"/>
          <w:szCs w:val="18"/>
          <w:highlight w:val="yellow"/>
          <w:lang w:eastAsia="es-MX"/>
        </w:rPr>
        <w:t>--</w:t>
      </w:r>
      <w:r w:rsidRPr="00E16811">
        <w:rPr>
          <w:rFonts w:ascii="Arial" w:eastAsia="Times New Roman" w:hAnsi="Arial" w:cs="Arial"/>
          <w:sz w:val="18"/>
          <w:szCs w:val="18"/>
          <w:lang w:eastAsia="es-MX"/>
        </w:rPr>
        <w:t>/2023</w:t>
      </w:r>
    </w:p>
    <w:p w:rsidR="00E16811" w:rsidRPr="00E16811" w:rsidRDefault="00E16811" w:rsidP="00E16811">
      <w:pPr>
        <w:spacing w:after="0" w:line="240" w:lineRule="auto"/>
        <w:rPr>
          <w:rFonts w:ascii="Arial" w:eastAsia="Times New Roman" w:hAnsi="Arial" w:cs="Arial"/>
          <w:sz w:val="10"/>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E16811" w:rsidRDefault="00E16811" w:rsidP="00E16811">
      <w:pPr>
        <w:spacing w:after="0" w:line="240" w:lineRule="auto"/>
        <w:rPr>
          <w:rFonts w:ascii="Arial" w:eastAsia="Times New Roman" w:hAnsi="Arial" w:cs="Arial"/>
          <w:sz w:val="12"/>
          <w:szCs w:val="18"/>
          <w:lang w:eastAsia="es-MX"/>
        </w:rPr>
      </w:pPr>
    </w:p>
    <w:tbl>
      <w:tblPr>
        <w:tblW w:w="10314" w:type="dxa"/>
        <w:tblLook w:val="04A0" w:firstRow="1" w:lastRow="0" w:firstColumn="1" w:lastColumn="0" w:noHBand="0" w:noVBand="1"/>
      </w:tblPr>
      <w:tblGrid>
        <w:gridCol w:w="5157"/>
        <w:gridCol w:w="5157"/>
      </w:tblGrid>
      <w:tr w:rsidR="00E16811" w:rsidRPr="00E16811" w:rsidTr="009E3E30">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9E3E30">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9E3E3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E16811" w:rsidRDefault="00E16811" w:rsidP="00E16811">
      <w:pPr>
        <w:spacing w:after="0" w:line="240" w:lineRule="auto"/>
        <w:rPr>
          <w:rFonts w:ascii="Arial" w:eastAsia="Times New Roman" w:hAnsi="Arial" w:cs="Arial"/>
          <w:sz w:val="18"/>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E16811">
        <w:rPr>
          <w:rFonts w:ascii="Arial" w:eastAsia="Times New Roman" w:hAnsi="Arial" w:cs="Arial"/>
          <w:sz w:val="18"/>
          <w:szCs w:val="18"/>
          <w:highlight w:val="yellow"/>
          <w:lang w:eastAsia="es-MX"/>
        </w:rPr>
        <w:t>GES --/202</w:t>
      </w:r>
      <w:r w:rsidRPr="00E16811">
        <w:rPr>
          <w:rFonts w:ascii="Arial" w:eastAsia="Times New Roman" w:hAnsi="Arial" w:cs="Arial"/>
          <w:sz w:val="18"/>
          <w:szCs w:val="18"/>
          <w:lang w:eastAsia="es-MX"/>
        </w:rPr>
        <w:t>3.</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E16811">
      <w:pPr>
        <w:spacing w:after="0" w:line="240" w:lineRule="auto"/>
        <w:jc w:val="both"/>
        <w:rPr>
          <w:rFonts w:ascii="Arial" w:eastAsia="Times New Roman" w:hAnsi="Arial" w:cs="Arial"/>
          <w:sz w:val="17"/>
          <w:szCs w:val="17"/>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sz w:val="18"/>
          <w:szCs w:val="18"/>
          <w:lang w:eastAsia="es-MX"/>
        </w:rPr>
      </w:pPr>
    </w:p>
    <w:p w:rsidR="00E16811" w:rsidRPr="00E16811" w:rsidRDefault="00E16811" w:rsidP="00E16811">
      <w:pPr>
        <w:spacing w:after="0" w:line="240" w:lineRule="auto"/>
        <w:jc w:val="center"/>
        <w:rPr>
          <w:rFonts w:ascii="Arial" w:eastAsia="Times New Roman" w:hAnsi="Arial" w:cs="Arial"/>
          <w:sz w:val="8"/>
          <w:szCs w:val="20"/>
          <w:lang w:eastAsia="es-MX"/>
        </w:rPr>
      </w:pPr>
    </w:p>
    <w:p w:rsidR="008B331E" w:rsidRPr="00E16811" w:rsidRDefault="008B331E" w:rsidP="008B331E">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8B331E" w:rsidRPr="00E16811" w:rsidRDefault="008B331E" w:rsidP="008B331E">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8B331E" w:rsidRPr="00E16811" w:rsidRDefault="008B331E" w:rsidP="008B331E">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8B331E" w:rsidRPr="00A71C86" w:rsidRDefault="008B331E" w:rsidP="008B331E">
      <w:pPr>
        <w:spacing w:after="0" w:line="240" w:lineRule="auto"/>
        <w:jc w:val="center"/>
        <w:rPr>
          <w:rFonts w:ascii="Arial" w:eastAsia="Times New Roman" w:hAnsi="Arial" w:cs="Arial"/>
          <w:b/>
          <w:sz w:val="16"/>
          <w:szCs w:val="16"/>
          <w:lang w:eastAsia="es-MX"/>
        </w:rPr>
      </w:pPr>
    </w:p>
    <w:p w:rsidR="008B331E" w:rsidRPr="00A71C86" w:rsidRDefault="008B331E" w:rsidP="008B331E">
      <w:pPr>
        <w:pStyle w:val="Ttulo"/>
        <w:rPr>
          <w:sz w:val="20"/>
          <w:szCs w:val="20"/>
        </w:rPr>
      </w:pPr>
      <w:r w:rsidRPr="00A71C86">
        <w:rPr>
          <w:sz w:val="20"/>
          <w:szCs w:val="20"/>
        </w:rPr>
        <w:t>Convocatoria a la Licitación Pública Nacional Número GES 15/2023</w:t>
      </w:r>
    </w:p>
    <w:p w:rsidR="008B331E" w:rsidRPr="00A71C86" w:rsidRDefault="008B331E" w:rsidP="008B331E">
      <w:pPr>
        <w:tabs>
          <w:tab w:val="center" w:pos="4678"/>
        </w:tabs>
        <w:suppressAutoHyphens/>
        <w:spacing w:after="0" w:line="240" w:lineRule="auto"/>
        <w:jc w:val="both"/>
        <w:rPr>
          <w:rFonts w:ascii="Arial" w:eastAsia="Times New Roman" w:hAnsi="Arial" w:cs="Times New Roman"/>
          <w:b/>
          <w:bCs/>
          <w:spacing w:val="-3"/>
          <w:sz w:val="20"/>
          <w:szCs w:val="20"/>
          <w:lang w:val="es-ES_tradnl" w:eastAsia="x-none"/>
        </w:rPr>
      </w:pPr>
      <w:r w:rsidRPr="00A71C86">
        <w:rPr>
          <w:rFonts w:ascii="Arial" w:eastAsia="Times New Roman" w:hAnsi="Arial" w:cs="Arial"/>
          <w:b/>
          <w:bCs/>
          <w:spacing w:val="-3"/>
          <w:sz w:val="20"/>
          <w:szCs w:val="20"/>
          <w:shd w:val="clear" w:color="auto" w:fill="FFFFFF"/>
          <w:lang w:val="es-ES_tradnl" w:eastAsia="x-none"/>
        </w:rPr>
        <w:t>Contratación de seguro agrícola catastrófico, solicitada por la Secretaría de Agricultura y Ganadería</w:t>
      </w:r>
    </w:p>
    <w:p w:rsidR="00E16811" w:rsidRPr="00E16811" w:rsidRDefault="00E16811" w:rsidP="00E16811">
      <w:pPr>
        <w:spacing w:after="0" w:line="240" w:lineRule="auto"/>
        <w:jc w:val="center"/>
        <w:rPr>
          <w:rFonts w:ascii="Arial" w:eastAsia="Times New Roman" w:hAnsi="Arial" w:cs="Arial"/>
          <w:b/>
          <w:lang w:eastAsia="es-MX"/>
        </w:rPr>
      </w:pPr>
    </w:p>
    <w:p w:rsidR="00E16811" w:rsidRPr="008B331E" w:rsidRDefault="00E16811" w:rsidP="00E16811">
      <w:pPr>
        <w:spacing w:after="0" w:line="240" w:lineRule="auto"/>
        <w:jc w:val="center"/>
        <w:rPr>
          <w:rFonts w:ascii="Arial" w:eastAsia="Times New Roman" w:hAnsi="Arial" w:cs="Arial"/>
          <w:b/>
          <w:sz w:val="20"/>
          <w:szCs w:val="20"/>
          <w:lang w:eastAsia="es-MX"/>
        </w:rPr>
      </w:pPr>
      <w:r w:rsidRPr="008B331E">
        <w:rPr>
          <w:rFonts w:ascii="Arial" w:eastAsia="Times New Roman" w:hAnsi="Arial" w:cs="Arial"/>
          <w:b/>
          <w:sz w:val="20"/>
          <w:szCs w:val="20"/>
          <w:lang w:eastAsia="es-MX"/>
        </w:rPr>
        <w:t>Anexo III bis</w:t>
      </w:r>
    </w:p>
    <w:p w:rsidR="00E16811" w:rsidRPr="008B331E" w:rsidRDefault="00E16811" w:rsidP="00E16811">
      <w:pPr>
        <w:spacing w:after="0" w:line="240" w:lineRule="auto"/>
        <w:jc w:val="center"/>
        <w:rPr>
          <w:rFonts w:ascii="Arial" w:eastAsia="Times New Roman" w:hAnsi="Arial" w:cs="Arial"/>
          <w:b/>
          <w:sz w:val="20"/>
          <w:szCs w:val="20"/>
          <w:lang w:eastAsia="es-MX"/>
        </w:rPr>
      </w:pPr>
      <w:r w:rsidRPr="008B331E">
        <w:rPr>
          <w:rFonts w:ascii="Arial" w:eastAsia="Times New Roman" w:hAnsi="Arial" w:cs="Arial"/>
          <w:b/>
          <w:sz w:val="20"/>
          <w:szCs w:val="20"/>
          <w:lang w:eastAsia="es-MX"/>
        </w:rPr>
        <w:t>Formato para la presentación de preguntas para la Junta de Aclaraciones.</w:t>
      </w:r>
    </w:p>
    <w:p w:rsidR="00E16811" w:rsidRPr="008B331E"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8B331E"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8B331E"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8B331E">
        <w:rPr>
          <w:rFonts w:ascii="Arial" w:eastAsia="Times New Roman" w:hAnsi="Arial" w:cs="Arial"/>
          <w:b/>
          <w:sz w:val="20"/>
          <w:szCs w:val="20"/>
          <w:lang w:eastAsia="es-MX"/>
        </w:rPr>
        <w:t>Solicitudes de aclaración efectuadas por:</w:t>
      </w:r>
    </w:p>
    <w:p w:rsidR="00E16811" w:rsidRPr="008B331E" w:rsidRDefault="00E16811" w:rsidP="00E16811">
      <w:pPr>
        <w:spacing w:after="0"/>
        <w:jc w:val="both"/>
        <w:rPr>
          <w:rFonts w:ascii="Arial" w:eastAsia="Times New Roman" w:hAnsi="Arial" w:cs="Arial"/>
          <w:b/>
          <w:sz w:val="20"/>
          <w:szCs w:val="20"/>
          <w:u w:val="single"/>
          <w:lang w:eastAsia="es-MX"/>
        </w:rPr>
      </w:pPr>
    </w:p>
    <w:p w:rsidR="00E16811" w:rsidRPr="008B331E" w:rsidRDefault="00E16811" w:rsidP="00E16811">
      <w:pPr>
        <w:spacing w:after="0"/>
        <w:jc w:val="both"/>
        <w:rPr>
          <w:rFonts w:ascii="Arial" w:eastAsia="Times New Roman" w:hAnsi="Arial" w:cs="Arial"/>
          <w:b/>
          <w:sz w:val="20"/>
          <w:szCs w:val="20"/>
          <w:u w:val="single"/>
          <w:lang w:eastAsia="es-MX"/>
        </w:rPr>
      </w:pPr>
      <w:r w:rsidRPr="008B331E">
        <w:rPr>
          <w:rFonts w:ascii="Arial" w:eastAsia="Times New Roman" w:hAnsi="Arial" w:cs="Arial"/>
          <w:b/>
          <w:sz w:val="20"/>
          <w:szCs w:val="20"/>
          <w:u w:val="single"/>
          <w:lang w:eastAsia="es-MX"/>
        </w:rPr>
        <w:t>Nombre de la empresa:</w:t>
      </w:r>
    </w:p>
    <w:p w:rsidR="00E16811" w:rsidRPr="008B331E" w:rsidRDefault="00E16811" w:rsidP="00E16811">
      <w:pPr>
        <w:spacing w:after="0"/>
        <w:jc w:val="both"/>
        <w:rPr>
          <w:rFonts w:ascii="Arial" w:eastAsia="Times New Roman" w:hAnsi="Arial" w:cs="Arial"/>
          <w:b/>
          <w:sz w:val="20"/>
          <w:szCs w:val="20"/>
          <w:u w:val="single"/>
          <w:lang w:eastAsia="es-MX"/>
        </w:rPr>
      </w:pPr>
    </w:p>
    <w:p w:rsidR="00E16811" w:rsidRPr="008B331E"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8B331E">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8B331E" w:rsidRDefault="00E16811" w:rsidP="00E16811">
      <w:pPr>
        <w:spacing w:after="0"/>
        <w:jc w:val="both"/>
        <w:rPr>
          <w:rFonts w:ascii="Arial" w:eastAsia="Times New Roman" w:hAnsi="Arial" w:cs="Arial"/>
          <w:b/>
          <w:sz w:val="20"/>
          <w:szCs w:val="20"/>
          <w:u w:val="single"/>
          <w:lang w:eastAsia="es-MX"/>
        </w:rPr>
      </w:pPr>
    </w:p>
    <w:p w:rsidR="00E16811" w:rsidRPr="008B331E" w:rsidRDefault="00E16811" w:rsidP="00E16811">
      <w:pPr>
        <w:spacing w:after="0"/>
        <w:jc w:val="both"/>
        <w:rPr>
          <w:rFonts w:ascii="Arial" w:eastAsia="Times New Roman" w:hAnsi="Arial" w:cs="Arial"/>
          <w:b/>
          <w:sz w:val="20"/>
          <w:szCs w:val="20"/>
          <w:u w:val="single"/>
          <w:lang w:eastAsia="es-MX"/>
        </w:rPr>
      </w:pPr>
      <w:r w:rsidRPr="008B331E">
        <w:rPr>
          <w:rFonts w:ascii="Arial" w:eastAsia="Times New Roman" w:hAnsi="Arial" w:cs="Arial"/>
          <w:b/>
          <w:sz w:val="20"/>
          <w:szCs w:val="20"/>
          <w:u w:val="single"/>
          <w:lang w:eastAsia="es-MX"/>
        </w:rPr>
        <w:t>Ejemplo:</w:t>
      </w:r>
    </w:p>
    <w:p w:rsidR="00E16811" w:rsidRPr="008B331E" w:rsidRDefault="00E16811" w:rsidP="00E16811">
      <w:pPr>
        <w:spacing w:after="0"/>
        <w:jc w:val="both"/>
        <w:rPr>
          <w:rFonts w:ascii="Arial" w:eastAsia="Times New Roman" w:hAnsi="Arial" w:cs="Arial"/>
          <w:b/>
          <w:sz w:val="20"/>
          <w:szCs w:val="20"/>
          <w:u w:val="single"/>
          <w:lang w:eastAsia="es-MX"/>
        </w:rPr>
      </w:pPr>
    </w:p>
    <w:p w:rsidR="00E16811" w:rsidRPr="008B331E" w:rsidRDefault="00E16811" w:rsidP="00E16811">
      <w:pPr>
        <w:numPr>
          <w:ilvl w:val="0"/>
          <w:numId w:val="30"/>
        </w:numPr>
        <w:spacing w:after="0" w:line="240" w:lineRule="auto"/>
        <w:jc w:val="both"/>
        <w:rPr>
          <w:rFonts w:ascii="Arial" w:eastAsia="Times New Roman" w:hAnsi="Arial" w:cs="Arial"/>
          <w:b/>
          <w:sz w:val="20"/>
          <w:szCs w:val="20"/>
          <w:lang w:eastAsia="es-MX"/>
        </w:rPr>
      </w:pPr>
      <w:r w:rsidRPr="008B331E">
        <w:rPr>
          <w:rFonts w:ascii="Arial" w:eastAsia="Times New Roman" w:hAnsi="Arial" w:cs="Arial"/>
          <w:b/>
          <w:sz w:val="20"/>
          <w:szCs w:val="20"/>
          <w:lang w:eastAsia="es-MX"/>
        </w:rPr>
        <w:t>Preguntas administrativas:</w:t>
      </w:r>
    </w:p>
    <w:p w:rsidR="00E16811" w:rsidRPr="008B331E" w:rsidRDefault="00E16811" w:rsidP="00E16811">
      <w:pPr>
        <w:spacing w:after="0"/>
        <w:jc w:val="both"/>
        <w:rPr>
          <w:rFonts w:ascii="Arial" w:eastAsia="Times New Roman" w:hAnsi="Arial" w:cs="Arial"/>
          <w:b/>
          <w:sz w:val="20"/>
          <w:szCs w:val="20"/>
          <w:lang w:eastAsia="es-MX"/>
        </w:rPr>
      </w:pPr>
    </w:p>
    <w:p w:rsidR="00E16811" w:rsidRPr="008B331E" w:rsidRDefault="00E16811" w:rsidP="00E16811">
      <w:pPr>
        <w:spacing w:after="0"/>
        <w:jc w:val="both"/>
        <w:rPr>
          <w:rFonts w:ascii="Arial" w:eastAsia="Times New Roman" w:hAnsi="Arial" w:cs="Arial"/>
          <w:b/>
          <w:color w:val="FF0000"/>
          <w:sz w:val="20"/>
          <w:szCs w:val="20"/>
          <w:lang w:eastAsia="es-MX"/>
        </w:rPr>
      </w:pPr>
      <w:r w:rsidRPr="008B331E">
        <w:rPr>
          <w:rFonts w:ascii="Arial" w:eastAsia="Times New Roman" w:hAnsi="Arial" w:cs="Arial"/>
          <w:b/>
          <w:sz w:val="20"/>
          <w:szCs w:val="20"/>
          <w:lang w:eastAsia="es-MX"/>
        </w:rPr>
        <w:t xml:space="preserve">1.- Pregunta ----------------? </w:t>
      </w:r>
      <w:r w:rsidRPr="008B331E">
        <w:rPr>
          <w:rFonts w:ascii="Arial" w:eastAsia="Times New Roman" w:hAnsi="Arial" w:cs="Arial"/>
          <w:b/>
          <w:color w:val="FF0000"/>
          <w:sz w:val="20"/>
          <w:szCs w:val="20"/>
          <w:lang w:eastAsia="es-MX"/>
        </w:rPr>
        <w:t>(Licitante)</w:t>
      </w:r>
    </w:p>
    <w:p w:rsidR="00E16811" w:rsidRPr="008B331E" w:rsidRDefault="00E16811" w:rsidP="00E16811">
      <w:pPr>
        <w:spacing w:after="0"/>
        <w:jc w:val="both"/>
        <w:rPr>
          <w:rFonts w:ascii="Arial" w:eastAsia="Times New Roman" w:hAnsi="Arial" w:cs="Arial"/>
          <w:b/>
          <w:sz w:val="20"/>
          <w:szCs w:val="20"/>
          <w:lang w:eastAsia="es-MX"/>
        </w:rPr>
      </w:pPr>
    </w:p>
    <w:p w:rsidR="00E16811" w:rsidRPr="008B331E" w:rsidRDefault="00E16811" w:rsidP="00E16811">
      <w:pPr>
        <w:spacing w:after="0" w:line="240" w:lineRule="auto"/>
        <w:rPr>
          <w:rFonts w:ascii="Arial" w:eastAsia="Times New Roman" w:hAnsi="Arial" w:cs="Arial"/>
          <w:b/>
          <w:caps/>
          <w:color w:val="FF0000"/>
          <w:sz w:val="20"/>
          <w:szCs w:val="20"/>
          <w:lang w:eastAsia="es-ES"/>
        </w:rPr>
      </w:pPr>
      <w:r w:rsidRPr="008B331E">
        <w:rPr>
          <w:rFonts w:ascii="Arial" w:eastAsia="Times New Roman" w:hAnsi="Arial" w:cs="Arial"/>
          <w:b/>
          <w:caps/>
          <w:sz w:val="20"/>
          <w:szCs w:val="20"/>
          <w:lang w:eastAsia="es-ES"/>
        </w:rPr>
        <w:t>R</w:t>
      </w:r>
      <w:r w:rsidRPr="008B331E">
        <w:rPr>
          <w:rFonts w:ascii="Arial" w:eastAsia="Times New Roman" w:hAnsi="Arial" w:cs="Arial"/>
          <w:b/>
          <w:sz w:val="20"/>
          <w:szCs w:val="20"/>
          <w:lang w:eastAsia="es-ES"/>
        </w:rPr>
        <w:t>espuesta</w:t>
      </w:r>
      <w:r w:rsidRPr="008B331E">
        <w:rPr>
          <w:rFonts w:ascii="Arial" w:eastAsia="Times New Roman" w:hAnsi="Arial" w:cs="Arial"/>
          <w:b/>
          <w:caps/>
          <w:sz w:val="20"/>
          <w:szCs w:val="20"/>
          <w:lang w:eastAsia="es-ES"/>
        </w:rPr>
        <w:t xml:space="preserve">: </w:t>
      </w:r>
      <w:proofErr w:type="gramStart"/>
      <w:r w:rsidRPr="008B331E">
        <w:rPr>
          <w:rFonts w:ascii="Arial" w:eastAsia="Times New Roman" w:hAnsi="Arial" w:cs="Arial"/>
          <w:b/>
          <w:caps/>
          <w:sz w:val="20"/>
          <w:szCs w:val="20"/>
          <w:lang w:eastAsia="es-ES"/>
        </w:rPr>
        <w:t xml:space="preserve">--------------  </w:t>
      </w:r>
      <w:r w:rsidRPr="008B331E">
        <w:rPr>
          <w:rFonts w:ascii="Arial" w:eastAsia="Times New Roman" w:hAnsi="Arial" w:cs="Arial"/>
          <w:b/>
          <w:caps/>
          <w:color w:val="FF0000"/>
          <w:sz w:val="20"/>
          <w:szCs w:val="20"/>
          <w:lang w:eastAsia="es-ES"/>
        </w:rPr>
        <w:t>(</w:t>
      </w:r>
      <w:proofErr w:type="gramEnd"/>
      <w:r w:rsidRPr="008B331E">
        <w:rPr>
          <w:rFonts w:ascii="Arial" w:eastAsia="Times New Roman" w:hAnsi="Arial" w:cs="Arial"/>
          <w:b/>
          <w:color w:val="FF0000"/>
          <w:sz w:val="20"/>
          <w:szCs w:val="20"/>
          <w:lang w:eastAsia="es-ES"/>
        </w:rPr>
        <w:t>Convocante)</w:t>
      </w:r>
    </w:p>
    <w:p w:rsidR="00E16811" w:rsidRPr="008B331E" w:rsidRDefault="00E16811" w:rsidP="00E16811">
      <w:pPr>
        <w:spacing w:after="0" w:line="240" w:lineRule="auto"/>
        <w:rPr>
          <w:rFonts w:ascii="Arial" w:eastAsia="Times New Roman" w:hAnsi="Arial" w:cs="Arial"/>
          <w:b/>
          <w:caps/>
          <w:sz w:val="20"/>
          <w:szCs w:val="20"/>
          <w:lang w:eastAsia="es-ES"/>
        </w:rPr>
      </w:pPr>
    </w:p>
    <w:p w:rsidR="00E16811" w:rsidRPr="008B331E" w:rsidRDefault="00E16811" w:rsidP="00E16811">
      <w:pPr>
        <w:spacing w:after="0" w:line="240" w:lineRule="auto"/>
        <w:rPr>
          <w:rFonts w:ascii="Arial" w:eastAsia="Times New Roman" w:hAnsi="Arial" w:cs="Arial"/>
          <w:b/>
          <w:caps/>
          <w:sz w:val="20"/>
          <w:szCs w:val="20"/>
          <w:lang w:eastAsia="es-ES"/>
        </w:rPr>
      </w:pPr>
      <w:r w:rsidRPr="008B331E">
        <w:rPr>
          <w:rFonts w:ascii="Arial" w:eastAsia="Times New Roman" w:hAnsi="Arial" w:cs="Arial"/>
          <w:b/>
          <w:caps/>
          <w:sz w:val="20"/>
          <w:szCs w:val="20"/>
          <w:lang w:eastAsia="es-ES"/>
        </w:rPr>
        <w:t>2.- -------------</w:t>
      </w:r>
    </w:p>
    <w:p w:rsidR="00E16811" w:rsidRPr="008B331E" w:rsidRDefault="00E16811" w:rsidP="00E16811">
      <w:pPr>
        <w:spacing w:after="0"/>
        <w:ind w:left="360"/>
        <w:jc w:val="both"/>
        <w:rPr>
          <w:rFonts w:ascii="Arial" w:eastAsia="Times New Roman" w:hAnsi="Arial" w:cs="Arial"/>
          <w:b/>
          <w:sz w:val="20"/>
          <w:szCs w:val="20"/>
          <w:lang w:eastAsia="es-MX"/>
        </w:rPr>
      </w:pPr>
    </w:p>
    <w:p w:rsidR="00E16811" w:rsidRPr="008B331E" w:rsidRDefault="00E16811" w:rsidP="00E16811">
      <w:pPr>
        <w:spacing w:after="0"/>
        <w:ind w:left="360"/>
        <w:jc w:val="both"/>
        <w:rPr>
          <w:rFonts w:ascii="Arial" w:eastAsia="Times New Roman" w:hAnsi="Arial" w:cs="Arial"/>
          <w:b/>
          <w:sz w:val="20"/>
          <w:szCs w:val="20"/>
          <w:lang w:eastAsia="es-MX"/>
        </w:rPr>
      </w:pPr>
    </w:p>
    <w:p w:rsidR="00E16811" w:rsidRPr="008B331E" w:rsidRDefault="00E16811" w:rsidP="00E16811">
      <w:pPr>
        <w:spacing w:after="0"/>
        <w:ind w:left="360"/>
        <w:jc w:val="both"/>
        <w:rPr>
          <w:rFonts w:ascii="Arial" w:eastAsia="Times New Roman" w:hAnsi="Arial" w:cs="Arial"/>
          <w:b/>
          <w:sz w:val="20"/>
          <w:szCs w:val="20"/>
          <w:lang w:eastAsia="es-MX"/>
        </w:rPr>
      </w:pPr>
    </w:p>
    <w:p w:rsidR="00E16811" w:rsidRPr="008B331E" w:rsidRDefault="00E16811" w:rsidP="00E16811">
      <w:pPr>
        <w:numPr>
          <w:ilvl w:val="0"/>
          <w:numId w:val="30"/>
        </w:numPr>
        <w:spacing w:after="0" w:line="240" w:lineRule="auto"/>
        <w:jc w:val="both"/>
        <w:rPr>
          <w:rFonts w:ascii="Arial" w:eastAsia="Times New Roman" w:hAnsi="Arial" w:cs="Arial"/>
          <w:b/>
          <w:sz w:val="20"/>
          <w:szCs w:val="20"/>
          <w:lang w:eastAsia="es-MX"/>
        </w:rPr>
      </w:pPr>
      <w:r w:rsidRPr="008B331E">
        <w:rPr>
          <w:rFonts w:ascii="Arial" w:eastAsia="Times New Roman" w:hAnsi="Arial" w:cs="Arial"/>
          <w:b/>
          <w:sz w:val="20"/>
          <w:szCs w:val="20"/>
          <w:lang w:eastAsia="es-MX"/>
        </w:rPr>
        <w:t>Preguntas Técnicas:</w:t>
      </w:r>
    </w:p>
    <w:p w:rsidR="00E16811" w:rsidRPr="008B331E" w:rsidRDefault="00E16811" w:rsidP="00E16811">
      <w:pPr>
        <w:spacing w:after="0" w:line="240" w:lineRule="auto"/>
        <w:rPr>
          <w:rFonts w:ascii="Arial" w:eastAsia="Times New Roman" w:hAnsi="Arial" w:cs="Arial"/>
          <w:b/>
          <w:caps/>
          <w:sz w:val="20"/>
          <w:szCs w:val="20"/>
          <w:lang w:eastAsia="es-ES"/>
        </w:rPr>
      </w:pPr>
    </w:p>
    <w:p w:rsidR="00E16811" w:rsidRPr="008B331E" w:rsidRDefault="00E16811" w:rsidP="00E16811">
      <w:pPr>
        <w:spacing w:after="0"/>
        <w:jc w:val="both"/>
        <w:rPr>
          <w:rFonts w:ascii="Arial" w:eastAsia="Times New Roman" w:hAnsi="Arial" w:cs="Arial"/>
          <w:b/>
          <w:color w:val="FF0000"/>
          <w:sz w:val="20"/>
          <w:szCs w:val="20"/>
          <w:lang w:eastAsia="es-MX"/>
        </w:rPr>
      </w:pPr>
      <w:r w:rsidRPr="008B331E">
        <w:rPr>
          <w:rFonts w:ascii="Arial" w:eastAsia="Times New Roman" w:hAnsi="Arial" w:cs="Arial"/>
          <w:b/>
          <w:sz w:val="20"/>
          <w:szCs w:val="20"/>
          <w:lang w:eastAsia="es-MX"/>
        </w:rPr>
        <w:t xml:space="preserve">1.- Pregunta ----------------? </w:t>
      </w:r>
      <w:r w:rsidRPr="008B331E">
        <w:rPr>
          <w:rFonts w:ascii="Arial" w:eastAsia="Times New Roman" w:hAnsi="Arial" w:cs="Arial"/>
          <w:b/>
          <w:color w:val="FF0000"/>
          <w:sz w:val="20"/>
          <w:szCs w:val="20"/>
          <w:lang w:eastAsia="es-MX"/>
        </w:rPr>
        <w:t>(Licitante)</w:t>
      </w:r>
    </w:p>
    <w:p w:rsidR="00E16811" w:rsidRPr="008B331E" w:rsidRDefault="00E16811" w:rsidP="00E16811">
      <w:pPr>
        <w:spacing w:after="0"/>
        <w:jc w:val="both"/>
        <w:rPr>
          <w:rFonts w:ascii="Arial" w:eastAsia="Times New Roman" w:hAnsi="Arial" w:cs="Arial"/>
          <w:b/>
          <w:sz w:val="20"/>
          <w:szCs w:val="20"/>
          <w:lang w:eastAsia="es-MX"/>
        </w:rPr>
      </w:pPr>
    </w:p>
    <w:p w:rsidR="00E16811" w:rsidRPr="008B331E" w:rsidRDefault="00E16811" w:rsidP="00E16811">
      <w:pPr>
        <w:spacing w:after="0" w:line="240" w:lineRule="auto"/>
        <w:rPr>
          <w:rFonts w:ascii="Arial" w:eastAsia="Times New Roman" w:hAnsi="Arial" w:cs="Arial"/>
          <w:b/>
          <w:caps/>
          <w:color w:val="FF0000"/>
          <w:sz w:val="20"/>
          <w:szCs w:val="20"/>
          <w:lang w:eastAsia="es-ES"/>
        </w:rPr>
      </w:pPr>
      <w:r w:rsidRPr="008B331E">
        <w:rPr>
          <w:rFonts w:ascii="Arial" w:eastAsia="Times New Roman" w:hAnsi="Arial" w:cs="Arial"/>
          <w:b/>
          <w:caps/>
          <w:sz w:val="20"/>
          <w:szCs w:val="20"/>
          <w:lang w:eastAsia="es-ES"/>
        </w:rPr>
        <w:t>R</w:t>
      </w:r>
      <w:r w:rsidRPr="008B331E">
        <w:rPr>
          <w:rFonts w:ascii="Arial" w:eastAsia="Times New Roman" w:hAnsi="Arial" w:cs="Arial"/>
          <w:b/>
          <w:sz w:val="20"/>
          <w:szCs w:val="20"/>
          <w:lang w:eastAsia="es-ES"/>
        </w:rPr>
        <w:t>espuesta</w:t>
      </w:r>
      <w:r w:rsidRPr="008B331E">
        <w:rPr>
          <w:rFonts w:ascii="Arial" w:eastAsia="Times New Roman" w:hAnsi="Arial" w:cs="Arial"/>
          <w:b/>
          <w:caps/>
          <w:sz w:val="20"/>
          <w:szCs w:val="20"/>
          <w:lang w:eastAsia="es-ES"/>
        </w:rPr>
        <w:t xml:space="preserve">: </w:t>
      </w:r>
      <w:proofErr w:type="gramStart"/>
      <w:r w:rsidRPr="008B331E">
        <w:rPr>
          <w:rFonts w:ascii="Arial" w:eastAsia="Times New Roman" w:hAnsi="Arial" w:cs="Arial"/>
          <w:b/>
          <w:caps/>
          <w:sz w:val="20"/>
          <w:szCs w:val="20"/>
          <w:lang w:eastAsia="es-ES"/>
        </w:rPr>
        <w:t xml:space="preserve">--------------  </w:t>
      </w:r>
      <w:r w:rsidRPr="008B331E">
        <w:rPr>
          <w:rFonts w:ascii="Arial" w:eastAsia="Times New Roman" w:hAnsi="Arial" w:cs="Arial"/>
          <w:b/>
          <w:caps/>
          <w:color w:val="FF0000"/>
          <w:sz w:val="20"/>
          <w:szCs w:val="20"/>
          <w:lang w:eastAsia="es-ES"/>
        </w:rPr>
        <w:t>(</w:t>
      </w:r>
      <w:proofErr w:type="gramEnd"/>
      <w:r w:rsidRPr="008B331E">
        <w:rPr>
          <w:rFonts w:ascii="Arial" w:eastAsia="Times New Roman" w:hAnsi="Arial" w:cs="Arial"/>
          <w:b/>
          <w:color w:val="FF0000"/>
          <w:sz w:val="20"/>
          <w:szCs w:val="20"/>
          <w:lang w:eastAsia="es-ES"/>
        </w:rPr>
        <w:t>Área Técnica</w:t>
      </w:r>
      <w:r w:rsidRPr="008B331E">
        <w:rPr>
          <w:rFonts w:ascii="Arial" w:eastAsia="Times New Roman" w:hAnsi="Arial" w:cs="Arial"/>
          <w:b/>
          <w:caps/>
          <w:color w:val="FF0000"/>
          <w:sz w:val="20"/>
          <w:szCs w:val="20"/>
          <w:lang w:eastAsia="es-ES"/>
        </w:rPr>
        <w:t>)</w:t>
      </w:r>
    </w:p>
    <w:p w:rsidR="00E16811" w:rsidRPr="008B331E" w:rsidRDefault="00E16811" w:rsidP="00E16811">
      <w:pPr>
        <w:spacing w:after="0" w:line="240" w:lineRule="auto"/>
        <w:rPr>
          <w:rFonts w:ascii="Arial" w:eastAsia="Times New Roman" w:hAnsi="Arial" w:cs="Arial"/>
          <w:b/>
          <w:caps/>
          <w:sz w:val="20"/>
          <w:szCs w:val="20"/>
          <w:lang w:eastAsia="es-ES"/>
        </w:rPr>
      </w:pPr>
    </w:p>
    <w:p w:rsidR="00E16811" w:rsidRPr="008B331E" w:rsidRDefault="00E16811" w:rsidP="00E16811">
      <w:pPr>
        <w:spacing w:after="0" w:line="240" w:lineRule="auto"/>
        <w:rPr>
          <w:rFonts w:ascii="Arial" w:eastAsia="Times New Roman" w:hAnsi="Arial" w:cs="Arial"/>
          <w:b/>
          <w:caps/>
          <w:sz w:val="20"/>
          <w:szCs w:val="20"/>
          <w:lang w:eastAsia="es-ES"/>
        </w:rPr>
      </w:pPr>
    </w:p>
    <w:p w:rsidR="00E16811" w:rsidRPr="008B331E" w:rsidRDefault="00E16811" w:rsidP="00E16811">
      <w:pPr>
        <w:spacing w:after="0" w:line="240" w:lineRule="auto"/>
        <w:rPr>
          <w:rFonts w:ascii="Arial" w:eastAsia="Times New Roman" w:hAnsi="Arial" w:cs="Arial"/>
          <w:b/>
          <w:caps/>
          <w:sz w:val="20"/>
          <w:szCs w:val="20"/>
          <w:lang w:eastAsia="es-ES"/>
        </w:rPr>
      </w:pPr>
      <w:r w:rsidRPr="008B331E">
        <w:rPr>
          <w:rFonts w:ascii="Arial" w:eastAsia="Times New Roman" w:hAnsi="Arial" w:cs="Arial"/>
          <w:b/>
          <w:caps/>
          <w:sz w:val="20"/>
          <w:szCs w:val="20"/>
          <w:lang w:eastAsia="es-ES"/>
        </w:rPr>
        <w:t>2.- -------------</w:t>
      </w:r>
    </w:p>
    <w:p w:rsidR="00E16811" w:rsidRPr="008B331E" w:rsidRDefault="00E16811" w:rsidP="00E16811">
      <w:pPr>
        <w:spacing w:after="0" w:line="240" w:lineRule="auto"/>
        <w:jc w:val="both"/>
        <w:rPr>
          <w:rFonts w:ascii="Arial" w:eastAsia="Times New Roman" w:hAnsi="Arial" w:cs="Arial"/>
          <w:b/>
          <w:color w:val="FF0000"/>
          <w:sz w:val="20"/>
          <w:szCs w:val="20"/>
          <w:lang w:eastAsia="es-ES"/>
        </w:rPr>
      </w:pPr>
    </w:p>
    <w:p w:rsidR="00E16811" w:rsidRPr="008B331E" w:rsidRDefault="00E16811" w:rsidP="00E16811">
      <w:pPr>
        <w:spacing w:after="0" w:line="240" w:lineRule="auto"/>
        <w:jc w:val="both"/>
        <w:rPr>
          <w:rFonts w:ascii="Arial" w:eastAsia="Times New Roman" w:hAnsi="Arial" w:cs="Arial"/>
          <w:b/>
          <w:color w:val="FF0000"/>
          <w:sz w:val="20"/>
          <w:szCs w:val="20"/>
          <w:lang w:eastAsia="es-ES"/>
        </w:rPr>
      </w:pPr>
    </w:p>
    <w:p w:rsidR="00E16811" w:rsidRPr="008B331E" w:rsidRDefault="00E16811" w:rsidP="00E16811">
      <w:pPr>
        <w:spacing w:after="0" w:line="240" w:lineRule="auto"/>
        <w:jc w:val="both"/>
        <w:rPr>
          <w:rFonts w:ascii="Arial" w:eastAsia="Times New Roman" w:hAnsi="Arial" w:cs="Arial"/>
          <w:b/>
          <w:caps/>
          <w:color w:val="FF0000"/>
          <w:sz w:val="20"/>
          <w:szCs w:val="20"/>
          <w:lang w:eastAsia="es-ES"/>
        </w:rPr>
      </w:pPr>
      <w:r w:rsidRPr="008B331E">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8B331E" w:rsidRDefault="00E16811" w:rsidP="00E16811">
      <w:pPr>
        <w:spacing w:after="0" w:line="240" w:lineRule="auto"/>
        <w:jc w:val="both"/>
        <w:rPr>
          <w:rFonts w:ascii="Arial" w:eastAsia="Times New Roman" w:hAnsi="Arial" w:cs="Arial"/>
          <w:sz w:val="20"/>
          <w:szCs w:val="20"/>
          <w:lang w:eastAsia="es-MX"/>
        </w:rPr>
      </w:pPr>
    </w:p>
    <w:p w:rsidR="00E16811" w:rsidRPr="008B331E" w:rsidRDefault="00E16811" w:rsidP="00E16811">
      <w:pPr>
        <w:spacing w:after="0" w:line="240" w:lineRule="auto"/>
        <w:jc w:val="both"/>
        <w:rPr>
          <w:rFonts w:ascii="Arial" w:eastAsia="Times New Roman" w:hAnsi="Arial" w:cs="Arial"/>
          <w:sz w:val="20"/>
          <w:szCs w:val="20"/>
          <w:lang w:eastAsia="es-MX"/>
        </w:rPr>
      </w:pPr>
    </w:p>
    <w:p w:rsidR="00E16811" w:rsidRPr="008B331E" w:rsidRDefault="00E16811" w:rsidP="00E16811">
      <w:pPr>
        <w:spacing w:after="0" w:line="240" w:lineRule="auto"/>
        <w:jc w:val="both"/>
        <w:rPr>
          <w:rFonts w:ascii="Arial" w:eastAsia="Times New Roman" w:hAnsi="Arial" w:cs="Arial"/>
          <w:sz w:val="20"/>
          <w:szCs w:val="20"/>
          <w:lang w:eastAsia="es-MX"/>
        </w:rPr>
      </w:pPr>
    </w:p>
    <w:p w:rsidR="00E16811" w:rsidRPr="008B331E" w:rsidRDefault="00E16811" w:rsidP="00E16811">
      <w:pPr>
        <w:spacing w:after="0" w:line="240" w:lineRule="auto"/>
        <w:jc w:val="both"/>
        <w:rPr>
          <w:rFonts w:ascii="Arial" w:eastAsia="Times New Roman" w:hAnsi="Arial" w:cs="Arial"/>
          <w:sz w:val="20"/>
          <w:szCs w:val="20"/>
          <w:lang w:eastAsia="es-MX"/>
        </w:rPr>
      </w:pPr>
    </w:p>
    <w:p w:rsidR="00E16811" w:rsidRPr="008B331E" w:rsidRDefault="00E16811" w:rsidP="00E16811">
      <w:pPr>
        <w:spacing w:after="0" w:line="240" w:lineRule="auto"/>
        <w:jc w:val="both"/>
        <w:rPr>
          <w:rFonts w:ascii="Arial" w:eastAsia="Times New Roman" w:hAnsi="Arial" w:cs="Arial"/>
          <w:sz w:val="20"/>
          <w:szCs w:val="20"/>
          <w:lang w:eastAsia="es-MX"/>
        </w:rPr>
      </w:pPr>
    </w:p>
    <w:p w:rsidR="00E16811" w:rsidRPr="008B331E" w:rsidRDefault="00E16811" w:rsidP="00E16811">
      <w:pPr>
        <w:spacing w:after="0" w:line="240" w:lineRule="auto"/>
        <w:jc w:val="both"/>
        <w:rPr>
          <w:rFonts w:ascii="Arial" w:eastAsia="Times New Roman" w:hAnsi="Arial" w:cs="Arial"/>
          <w:sz w:val="20"/>
          <w:szCs w:val="20"/>
          <w:lang w:eastAsia="es-MX"/>
        </w:rPr>
      </w:pPr>
    </w:p>
    <w:p w:rsidR="00E16811" w:rsidRPr="008B331E" w:rsidRDefault="00E16811" w:rsidP="00E16811">
      <w:pPr>
        <w:spacing w:after="0" w:line="240" w:lineRule="auto"/>
        <w:jc w:val="both"/>
        <w:rPr>
          <w:rFonts w:ascii="Arial" w:eastAsia="Times New Roman" w:hAnsi="Arial" w:cs="Arial"/>
          <w:sz w:val="20"/>
          <w:szCs w:val="20"/>
          <w:lang w:eastAsia="es-MX"/>
        </w:rPr>
        <w:sectPr w:rsidR="00E16811" w:rsidRPr="008B331E" w:rsidSect="00E16811">
          <w:headerReference w:type="default" r:id="rId7"/>
          <w:footerReference w:type="default" r:id="rId8"/>
          <w:pgSz w:w="12240" w:h="15840"/>
          <w:pgMar w:top="1518" w:right="1134" w:bottom="851" w:left="1418" w:header="709" w:footer="709" w:gutter="0"/>
          <w:cols w:space="708"/>
          <w:docGrid w:linePitch="360"/>
        </w:sectPr>
      </w:pPr>
    </w:p>
    <w:p w:rsidR="00E16811" w:rsidRPr="008B331E" w:rsidRDefault="00E16811" w:rsidP="00E16811">
      <w:pPr>
        <w:spacing w:after="0" w:line="240" w:lineRule="auto"/>
        <w:jc w:val="center"/>
        <w:rPr>
          <w:rFonts w:ascii="Arial" w:eastAsia="Times New Roman" w:hAnsi="Arial" w:cs="Arial"/>
          <w:b/>
          <w:sz w:val="20"/>
          <w:szCs w:val="20"/>
          <w:lang w:eastAsia="es-MX"/>
        </w:rPr>
      </w:pPr>
      <w:r w:rsidRPr="008B331E">
        <w:rPr>
          <w:rFonts w:ascii="Arial" w:eastAsia="Times New Roman" w:hAnsi="Arial" w:cs="Arial"/>
          <w:b/>
          <w:sz w:val="20"/>
          <w:szCs w:val="20"/>
          <w:lang w:eastAsia="es-MX"/>
        </w:rPr>
        <w:lastRenderedPageBreak/>
        <w:t>Gobierno del Estado de Sinaloa</w:t>
      </w:r>
    </w:p>
    <w:p w:rsidR="00E16811" w:rsidRPr="008B331E" w:rsidRDefault="00E16811" w:rsidP="00E16811">
      <w:pPr>
        <w:spacing w:after="0" w:line="240" w:lineRule="auto"/>
        <w:jc w:val="center"/>
        <w:rPr>
          <w:rFonts w:ascii="Arial" w:eastAsia="Times New Roman" w:hAnsi="Arial" w:cs="Arial"/>
          <w:b/>
          <w:sz w:val="20"/>
          <w:szCs w:val="20"/>
          <w:lang w:eastAsia="es-MX"/>
        </w:rPr>
      </w:pPr>
      <w:r w:rsidRPr="008B331E">
        <w:rPr>
          <w:rFonts w:ascii="Arial" w:eastAsia="Times New Roman" w:hAnsi="Arial" w:cs="Arial"/>
          <w:b/>
          <w:sz w:val="20"/>
          <w:szCs w:val="20"/>
          <w:lang w:eastAsia="es-MX"/>
        </w:rPr>
        <w:t>Secretaría de Administración y Finanzas</w:t>
      </w:r>
    </w:p>
    <w:p w:rsidR="00E16811" w:rsidRPr="008B331E" w:rsidRDefault="00E16811" w:rsidP="00E16811">
      <w:pPr>
        <w:spacing w:after="0" w:line="240" w:lineRule="auto"/>
        <w:jc w:val="center"/>
        <w:rPr>
          <w:rFonts w:ascii="Arial" w:eastAsia="Times New Roman" w:hAnsi="Arial" w:cs="Arial"/>
          <w:b/>
          <w:sz w:val="20"/>
          <w:szCs w:val="20"/>
          <w:lang w:eastAsia="es-MX"/>
        </w:rPr>
      </w:pPr>
      <w:r w:rsidRPr="008B331E">
        <w:rPr>
          <w:rFonts w:ascii="Arial" w:eastAsia="Times New Roman" w:hAnsi="Arial" w:cs="Arial"/>
          <w:b/>
          <w:sz w:val="20"/>
          <w:szCs w:val="20"/>
          <w:lang w:eastAsia="es-MX"/>
        </w:rPr>
        <w:t>Subsecretaría de Administración</w:t>
      </w:r>
    </w:p>
    <w:p w:rsidR="00E16811" w:rsidRPr="008B331E" w:rsidRDefault="00E16811" w:rsidP="00E16811">
      <w:pPr>
        <w:spacing w:after="0" w:line="240" w:lineRule="auto"/>
        <w:jc w:val="center"/>
        <w:rPr>
          <w:rFonts w:ascii="Arial" w:eastAsia="Times New Roman" w:hAnsi="Arial" w:cs="Arial"/>
          <w:b/>
          <w:sz w:val="20"/>
          <w:szCs w:val="20"/>
          <w:lang w:eastAsia="es-MX"/>
        </w:rPr>
      </w:pPr>
    </w:p>
    <w:p w:rsidR="00E16811" w:rsidRPr="008B331E"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8B331E">
        <w:rPr>
          <w:rFonts w:ascii="Arial" w:eastAsia="Times New Roman" w:hAnsi="Arial" w:cs="Arial"/>
          <w:b/>
          <w:bCs/>
          <w:spacing w:val="-3"/>
          <w:sz w:val="20"/>
          <w:szCs w:val="20"/>
          <w:lang w:val="es-ES_tradnl" w:eastAsia="x-none"/>
        </w:rPr>
        <w:t xml:space="preserve">Convocatoria a la Licitación Pública Nacional Número GES </w:t>
      </w:r>
      <w:r w:rsidRPr="008B331E">
        <w:rPr>
          <w:rFonts w:ascii="Arial" w:eastAsia="Times New Roman" w:hAnsi="Arial" w:cs="Arial"/>
          <w:b/>
          <w:bCs/>
          <w:spacing w:val="-3"/>
          <w:sz w:val="20"/>
          <w:szCs w:val="20"/>
          <w:highlight w:val="yellow"/>
          <w:lang w:val="es-ES_tradnl" w:eastAsia="x-none"/>
        </w:rPr>
        <w:t>--/</w:t>
      </w:r>
      <w:r w:rsidRPr="008B331E">
        <w:rPr>
          <w:rFonts w:ascii="Arial" w:eastAsia="Times New Roman" w:hAnsi="Arial" w:cs="Arial"/>
          <w:b/>
          <w:bCs/>
          <w:spacing w:val="-3"/>
          <w:sz w:val="20"/>
          <w:szCs w:val="20"/>
          <w:lang w:val="es-ES_tradnl" w:eastAsia="x-none"/>
        </w:rPr>
        <w:t>2023.</w:t>
      </w:r>
    </w:p>
    <w:p w:rsidR="00E16811" w:rsidRPr="008B331E" w:rsidRDefault="00E16811" w:rsidP="00E16811">
      <w:pPr>
        <w:spacing w:after="0" w:line="240" w:lineRule="auto"/>
        <w:jc w:val="center"/>
        <w:rPr>
          <w:rFonts w:ascii="Arial" w:eastAsia="Times New Roman" w:hAnsi="Arial" w:cs="Arial"/>
          <w:b/>
          <w:sz w:val="20"/>
          <w:szCs w:val="20"/>
          <w:lang w:val="pt-BR" w:eastAsia="es-MX"/>
        </w:rPr>
      </w:pPr>
      <w:r w:rsidRPr="008B331E">
        <w:rPr>
          <w:rFonts w:ascii="Arial" w:eastAsia="Times New Roman" w:hAnsi="Arial" w:cs="Arial"/>
          <w:b/>
          <w:sz w:val="20"/>
          <w:szCs w:val="20"/>
          <w:lang w:val="pt-BR" w:eastAsia="es-MX"/>
        </w:rPr>
        <w:t>Anexo IV</w:t>
      </w:r>
    </w:p>
    <w:p w:rsidR="00E16811" w:rsidRPr="008B331E" w:rsidRDefault="00E16811" w:rsidP="00E16811">
      <w:pPr>
        <w:spacing w:after="0" w:line="240" w:lineRule="auto"/>
        <w:jc w:val="center"/>
        <w:rPr>
          <w:rFonts w:ascii="Arial" w:eastAsia="Times New Roman" w:hAnsi="Arial" w:cs="Arial"/>
          <w:b/>
          <w:sz w:val="20"/>
          <w:szCs w:val="20"/>
          <w:lang w:val="pt-BR" w:eastAsia="es-MX"/>
        </w:rPr>
      </w:pPr>
      <w:r w:rsidRPr="008B331E">
        <w:rPr>
          <w:rFonts w:ascii="Arial" w:eastAsia="Times New Roman" w:hAnsi="Arial" w:cs="Arial"/>
          <w:b/>
          <w:sz w:val="20"/>
          <w:szCs w:val="20"/>
          <w:lang w:val="pt-BR" w:eastAsia="es-MX"/>
        </w:rPr>
        <w:t>(Modelo de Contrato)</w:t>
      </w:r>
    </w:p>
    <w:p w:rsidR="00E16811" w:rsidRPr="008B331E"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8B331E">
        <w:rPr>
          <w:rFonts w:ascii="Arial" w:eastAsia="Times New Roman" w:hAnsi="Arial" w:cs="Arial"/>
          <w:sz w:val="20"/>
          <w:szCs w:val="20"/>
          <w:lang w:val="es-ES_tradnl" w:eastAsia="es-MX"/>
        </w:rPr>
        <w:t xml:space="preserve">Contrato para la adquisición de -----, que celebran por una parte </w:t>
      </w:r>
      <w:r w:rsidRPr="008B331E">
        <w:rPr>
          <w:rFonts w:ascii="Arial" w:eastAsia="Times New Roman" w:hAnsi="Arial" w:cs="Arial"/>
          <w:b/>
          <w:sz w:val="20"/>
          <w:szCs w:val="20"/>
          <w:lang w:val="es-ES_tradnl" w:eastAsia="es-MX"/>
        </w:rPr>
        <w:t>Gobierno del Estado de Sinaloa</w:t>
      </w:r>
      <w:r w:rsidRPr="008B331E">
        <w:rPr>
          <w:rFonts w:ascii="Arial" w:eastAsia="Times New Roman" w:hAnsi="Arial" w:cs="Arial"/>
          <w:sz w:val="20"/>
          <w:szCs w:val="20"/>
          <w:lang w:val="es-ES_tradnl" w:eastAsia="es-MX"/>
        </w:rPr>
        <w:t xml:space="preserve">, representado en este acto por la Lic. -------, Subsecretaria de Administración de la Secretaría de Administración y Finanzas, a quien en lo sucesivo se le denominará </w:t>
      </w:r>
      <w:r w:rsidRPr="008B331E">
        <w:rPr>
          <w:rFonts w:ascii="Arial" w:eastAsia="Times New Roman" w:hAnsi="Arial" w:cs="Arial"/>
          <w:b/>
          <w:sz w:val="20"/>
          <w:szCs w:val="20"/>
          <w:lang w:val="es-ES_tradnl" w:eastAsia="es-MX"/>
        </w:rPr>
        <w:t>“El Estado”</w:t>
      </w:r>
      <w:r w:rsidRPr="008B331E">
        <w:rPr>
          <w:rFonts w:ascii="Arial" w:eastAsia="Times New Roman" w:hAnsi="Arial" w:cs="Arial"/>
          <w:sz w:val="20"/>
          <w:szCs w:val="20"/>
          <w:lang w:val="es-ES_tradnl" w:eastAsia="es-MX"/>
        </w:rPr>
        <w:t xml:space="preserve"> y por la otra parte la empresa: -------, representada por el C. ------, a la que en lo sucesivo se le denominará </w:t>
      </w:r>
      <w:r w:rsidRPr="008B331E">
        <w:rPr>
          <w:rFonts w:ascii="Arial" w:eastAsia="Times New Roman" w:hAnsi="Arial" w:cs="Arial"/>
          <w:b/>
          <w:sz w:val="20"/>
          <w:szCs w:val="20"/>
          <w:lang w:val="es-ES_tradnl" w:eastAsia="es-MX"/>
        </w:rPr>
        <w:t>“La Empresa”</w:t>
      </w:r>
      <w:r w:rsidRPr="008B331E">
        <w:rPr>
          <w:rFonts w:ascii="Arial" w:eastAsia="Times New Roman" w:hAnsi="Arial" w:cs="Arial"/>
          <w:sz w:val="20"/>
          <w:szCs w:val="20"/>
          <w:lang w:val="es-ES_tradnl" w:eastAsia="es-MX"/>
        </w:rPr>
        <w:t>, al tenor de las siguientes declaraciones y clá</w:t>
      </w:r>
      <w:r w:rsidRPr="00E16811">
        <w:rPr>
          <w:rFonts w:ascii="Arial" w:eastAsia="Times New Roman" w:hAnsi="Arial" w:cs="Arial"/>
          <w:sz w:val="19"/>
          <w:szCs w:val="19"/>
          <w:lang w:val="es-ES_tradnl" w:eastAsia="es-MX"/>
        </w:rPr>
        <w:t>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w:t>
      </w:r>
      <w:r w:rsidRPr="00E16811">
        <w:rPr>
          <w:rFonts w:ascii="Arial" w:eastAsia="Times New Roman" w:hAnsi="Arial" w:cs="Arial"/>
          <w:sz w:val="19"/>
          <w:szCs w:val="19"/>
          <w:highlight w:val="yellow"/>
          <w:lang w:val="es-ES_tradnl" w:eastAsia="es-MX"/>
        </w:rPr>
        <w:t>GES ---- /</w:t>
      </w:r>
      <w:r w:rsidRPr="00E16811">
        <w:rPr>
          <w:rFonts w:ascii="Arial" w:eastAsia="Times New Roman" w:hAnsi="Arial" w:cs="Arial"/>
          <w:sz w:val="19"/>
          <w:szCs w:val="19"/>
          <w:lang w:val="es-ES_tradnl" w:eastAsia="es-MX"/>
        </w:rPr>
        <w:t xml:space="preserve">2023, habiéndose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bookmarkStart w:id="0" w:name="_GoBack"/>
      <w:bookmarkEnd w:id="0"/>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9E3E30">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9E3E3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lastRenderedPageBreak/>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lastRenderedPageBreak/>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lastRenderedPageBreak/>
        <w:t>Décima.- Penas convencionales.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lastRenderedPageBreak/>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proofErr w:type="gramStart"/>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proofErr w:type="gramEnd"/>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9E3E30">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7F" w:rsidRDefault="003C4C7F" w:rsidP="003C4C7F">
      <w:pPr>
        <w:spacing w:after="0" w:line="240" w:lineRule="auto"/>
      </w:pPr>
      <w:r>
        <w:separator/>
      </w:r>
    </w:p>
  </w:endnote>
  <w:endnote w:type="continuationSeparator" w:id="0">
    <w:p w:rsidR="003C4C7F" w:rsidRDefault="003C4C7F"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32378"/>
      <w:docPartObj>
        <w:docPartGallery w:val="Page Numbers (Bottom of Page)"/>
        <w:docPartUnique/>
      </w:docPartObj>
    </w:sdtPr>
    <w:sdtEndPr>
      <w:rPr>
        <w:sz w:val="12"/>
        <w:szCs w:val="12"/>
      </w:rPr>
    </w:sdtEndPr>
    <w:sdtContent>
      <w:p w:rsidR="008B331E" w:rsidRPr="008B331E" w:rsidRDefault="008B331E">
        <w:pPr>
          <w:pStyle w:val="Piedepgina"/>
          <w:jc w:val="right"/>
          <w:rPr>
            <w:sz w:val="14"/>
            <w:szCs w:val="14"/>
          </w:rPr>
        </w:pPr>
        <w:r w:rsidRPr="008B331E">
          <w:rPr>
            <w:sz w:val="14"/>
            <w:szCs w:val="14"/>
          </w:rPr>
          <w:t>GES 15/2023 ANEXOS I, II, III, IV</w:t>
        </w:r>
      </w:p>
      <w:p w:rsidR="008B331E" w:rsidRPr="008B331E" w:rsidRDefault="008B331E">
        <w:pPr>
          <w:pStyle w:val="Piedepgina"/>
          <w:jc w:val="right"/>
          <w:rPr>
            <w:sz w:val="12"/>
            <w:szCs w:val="12"/>
          </w:rPr>
        </w:pPr>
        <w:r w:rsidRPr="008B331E">
          <w:rPr>
            <w:sz w:val="12"/>
            <w:szCs w:val="12"/>
          </w:rPr>
          <w:fldChar w:fldCharType="begin"/>
        </w:r>
        <w:r w:rsidRPr="008B331E">
          <w:rPr>
            <w:sz w:val="12"/>
            <w:szCs w:val="12"/>
          </w:rPr>
          <w:instrText>PAGE   \* MERGEFORMAT</w:instrText>
        </w:r>
        <w:r w:rsidRPr="008B331E">
          <w:rPr>
            <w:sz w:val="12"/>
            <w:szCs w:val="12"/>
          </w:rPr>
          <w:fldChar w:fldCharType="separate"/>
        </w:r>
        <w:r w:rsidR="00B32048" w:rsidRPr="00B32048">
          <w:rPr>
            <w:noProof/>
            <w:sz w:val="12"/>
            <w:szCs w:val="12"/>
            <w:lang w:val="es-ES"/>
          </w:rPr>
          <w:t>5</w:t>
        </w:r>
        <w:r w:rsidRPr="008B331E">
          <w:rPr>
            <w:sz w:val="12"/>
            <w:szCs w:val="12"/>
          </w:rPr>
          <w:fldChar w:fldCharType="end"/>
        </w:r>
      </w:p>
    </w:sdtContent>
  </w:sdt>
  <w:p w:rsidR="008B331E" w:rsidRDefault="008B33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73" w:rsidRPr="00763B73" w:rsidRDefault="00763B73">
    <w:pPr>
      <w:pStyle w:val="Piedepgina"/>
      <w:jc w:val="right"/>
      <w:rPr>
        <w:rFonts w:ascii="Arial" w:hAnsi="Arial" w:cs="Arial"/>
        <w:sz w:val="12"/>
      </w:rPr>
    </w:pPr>
    <w:r w:rsidRPr="00763B73">
      <w:rPr>
        <w:rFonts w:ascii="Arial" w:hAnsi="Arial" w:cs="Arial"/>
        <w:sz w:val="12"/>
      </w:rPr>
      <w:t xml:space="preserve">GES </w:t>
    </w:r>
    <w:r w:rsidR="008B331E">
      <w:rPr>
        <w:rFonts w:ascii="Arial" w:hAnsi="Arial" w:cs="Arial"/>
        <w:sz w:val="12"/>
      </w:rPr>
      <w:t>15</w:t>
    </w:r>
    <w:r w:rsidRPr="00763B73">
      <w:rPr>
        <w:rFonts w:ascii="Arial" w:hAnsi="Arial" w:cs="Arial"/>
        <w:sz w:val="12"/>
      </w:rPr>
      <w:t>/202</w:t>
    </w:r>
    <w:r w:rsidR="00B27709">
      <w:rPr>
        <w:rFonts w:ascii="Arial" w:hAnsi="Arial" w:cs="Arial"/>
        <w:sz w:val="12"/>
      </w:rPr>
      <w:t>3</w:t>
    </w:r>
  </w:p>
  <w:p w:rsidR="00763B73" w:rsidRPr="00763B73" w:rsidRDefault="008B331E">
    <w:pPr>
      <w:pStyle w:val="Piedepgina"/>
      <w:jc w:val="right"/>
      <w:rPr>
        <w:rFonts w:ascii="Arial" w:hAnsi="Arial" w:cs="Arial"/>
        <w:sz w:val="12"/>
      </w:rPr>
    </w:pPr>
    <w:r>
      <w:rPr>
        <w:rFonts w:ascii="Arial" w:hAnsi="Arial" w:cs="Arial"/>
        <w:sz w:val="12"/>
      </w:rPr>
      <w:t>ANEXOS I, II, III, IV</w:t>
    </w:r>
  </w:p>
  <w:p w:rsidR="000F2AD0" w:rsidRPr="00763B73" w:rsidRDefault="00B32048">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0F2AD0" w:rsidRPr="00763B73">
          <w:rPr>
            <w:rFonts w:ascii="Arial" w:hAnsi="Arial" w:cs="Arial"/>
            <w:sz w:val="12"/>
          </w:rPr>
          <w:fldChar w:fldCharType="begin"/>
        </w:r>
        <w:r w:rsidR="000F2AD0" w:rsidRPr="00763B73">
          <w:rPr>
            <w:rFonts w:ascii="Arial" w:hAnsi="Arial" w:cs="Arial"/>
            <w:sz w:val="12"/>
          </w:rPr>
          <w:instrText>PAGE   \* MERGEFORMAT</w:instrText>
        </w:r>
        <w:r w:rsidR="000F2AD0" w:rsidRPr="00763B73">
          <w:rPr>
            <w:rFonts w:ascii="Arial" w:hAnsi="Arial" w:cs="Arial"/>
            <w:sz w:val="12"/>
          </w:rPr>
          <w:fldChar w:fldCharType="separate"/>
        </w:r>
        <w:r w:rsidRPr="00B32048">
          <w:rPr>
            <w:rFonts w:ascii="Arial" w:hAnsi="Arial" w:cs="Arial"/>
            <w:noProof/>
            <w:sz w:val="12"/>
            <w:lang w:val="es-ES"/>
          </w:rPr>
          <w:t>9</w:t>
        </w:r>
        <w:r w:rsidR="000F2AD0" w:rsidRPr="00763B73">
          <w:rPr>
            <w:rFonts w:ascii="Arial" w:hAnsi="Arial" w:cs="Arial"/>
            <w:sz w:val="12"/>
          </w:rPr>
          <w:fldChar w:fldCharType="end"/>
        </w:r>
      </w:sdtContent>
    </w:sdt>
  </w:p>
  <w:p w:rsidR="003C4C7F" w:rsidRPr="00763B73" w:rsidRDefault="003C4C7F">
    <w:pPr>
      <w:pStyle w:val="Piedepgina"/>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7F" w:rsidRDefault="003C4C7F" w:rsidP="003C4C7F">
      <w:pPr>
        <w:spacing w:after="0" w:line="240" w:lineRule="auto"/>
      </w:pPr>
      <w:r>
        <w:separator/>
      </w:r>
    </w:p>
  </w:footnote>
  <w:footnote w:type="continuationSeparator" w:id="0">
    <w:p w:rsidR="003C4C7F" w:rsidRDefault="003C4C7F"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11" w:rsidRDefault="00B32048">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7.8pt;margin-top:-106.5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7F" w:rsidRDefault="00B32048"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3C4C7F" w:rsidRDefault="003C4C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710DC"/>
    <w:multiLevelType w:val="hybridMultilevel"/>
    <w:tmpl w:val="D4F40B4E"/>
    <w:lvl w:ilvl="0" w:tplc="8DD81DF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7" w15:restartNumberingAfterBreak="0">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6D3284"/>
    <w:multiLevelType w:val="hybridMultilevel"/>
    <w:tmpl w:val="7C60037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2" w15:restartNumberingAfterBreak="0">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4" w15:restartNumberingAfterBreak="0">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8"/>
  </w:num>
  <w:num w:numId="6">
    <w:abstractNumId w:val="1"/>
  </w:num>
  <w:num w:numId="7">
    <w:abstractNumId w:val="4"/>
  </w:num>
  <w:num w:numId="8">
    <w:abstractNumId w:val="14"/>
  </w:num>
  <w:num w:numId="9">
    <w:abstractNumId w:val="25"/>
  </w:num>
  <w:num w:numId="10">
    <w:abstractNumId w:val="22"/>
  </w:num>
  <w:num w:numId="11">
    <w:abstractNumId w:val="17"/>
  </w:num>
  <w:num w:numId="12">
    <w:abstractNumId w:val="2"/>
  </w:num>
  <w:num w:numId="13">
    <w:abstractNumId w:val="24"/>
  </w:num>
  <w:num w:numId="14">
    <w:abstractNumId w:val="18"/>
  </w:num>
  <w:num w:numId="15">
    <w:abstractNumId w:val="12"/>
  </w:num>
  <w:num w:numId="16">
    <w:abstractNumId w:val="26"/>
  </w:num>
  <w:num w:numId="17">
    <w:abstractNumId w:val="5"/>
  </w:num>
  <w:num w:numId="18">
    <w:abstractNumId w:val="13"/>
  </w:num>
  <w:num w:numId="19">
    <w:abstractNumId w:val="20"/>
  </w:num>
  <w:num w:numId="20">
    <w:abstractNumId w:val="0"/>
  </w:num>
  <w:num w:numId="21">
    <w:abstractNumId w:val="16"/>
  </w:num>
  <w:num w:numId="22">
    <w:abstractNumId w:val="10"/>
  </w:num>
  <w:num w:numId="23">
    <w:abstractNumId w:val="30"/>
  </w:num>
  <w:num w:numId="24">
    <w:abstractNumId w:val="27"/>
  </w:num>
  <w:num w:numId="25">
    <w:abstractNumId w:val="7"/>
  </w:num>
  <w:num w:numId="26">
    <w:abstractNumId w:val="19"/>
  </w:num>
  <w:num w:numId="27">
    <w:abstractNumId w:val="3"/>
  </w:num>
  <w:num w:numId="28">
    <w:abstractNumId w:val="9"/>
  </w:num>
  <w:num w:numId="29">
    <w:abstractNumId w:val="8"/>
  </w:num>
  <w:num w:numId="30">
    <w:abstractNumId w:val="1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9"/>
    <w:rsid w:val="00052E13"/>
    <w:rsid w:val="000F2AD0"/>
    <w:rsid w:val="00111C68"/>
    <w:rsid w:val="001B00DE"/>
    <w:rsid w:val="001D6ACA"/>
    <w:rsid w:val="00213A72"/>
    <w:rsid w:val="00235DD7"/>
    <w:rsid w:val="002919C0"/>
    <w:rsid w:val="002B2AF6"/>
    <w:rsid w:val="002D01E9"/>
    <w:rsid w:val="002D384A"/>
    <w:rsid w:val="00377523"/>
    <w:rsid w:val="00395EEE"/>
    <w:rsid w:val="003C4C7F"/>
    <w:rsid w:val="003D5202"/>
    <w:rsid w:val="003F31A5"/>
    <w:rsid w:val="00424E25"/>
    <w:rsid w:val="005057C2"/>
    <w:rsid w:val="005A7CD7"/>
    <w:rsid w:val="005D49C6"/>
    <w:rsid w:val="006D5199"/>
    <w:rsid w:val="0071358C"/>
    <w:rsid w:val="00763B73"/>
    <w:rsid w:val="007A6B3C"/>
    <w:rsid w:val="007F2639"/>
    <w:rsid w:val="008025F4"/>
    <w:rsid w:val="00837A04"/>
    <w:rsid w:val="008B331E"/>
    <w:rsid w:val="008E213C"/>
    <w:rsid w:val="008F3064"/>
    <w:rsid w:val="00971CD6"/>
    <w:rsid w:val="0099540B"/>
    <w:rsid w:val="009F0068"/>
    <w:rsid w:val="00A34FDC"/>
    <w:rsid w:val="00A71C86"/>
    <w:rsid w:val="00A723FC"/>
    <w:rsid w:val="00A93400"/>
    <w:rsid w:val="00AB287E"/>
    <w:rsid w:val="00B07D21"/>
    <w:rsid w:val="00B27709"/>
    <w:rsid w:val="00B32048"/>
    <w:rsid w:val="00B620CE"/>
    <w:rsid w:val="00BA325B"/>
    <w:rsid w:val="00C12099"/>
    <w:rsid w:val="00CC6BB6"/>
    <w:rsid w:val="00CF1B73"/>
    <w:rsid w:val="00DC09A9"/>
    <w:rsid w:val="00DD4529"/>
    <w:rsid w:val="00E16811"/>
    <w:rsid w:val="00EA43A5"/>
    <w:rsid w:val="00EE6A53"/>
    <w:rsid w:val="00EF6314"/>
    <w:rsid w:val="00F92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37326EFA"/>
  <w15:docId w15:val="{4164C483-F51D-4807-8017-9FF6BA5E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List Paragraph 2"/>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b1 Car"/>
    <w:link w:val="Prrafodelista"/>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4758</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SOCORRO MENDEZ</cp:lastModifiedBy>
  <cp:revision>13</cp:revision>
  <cp:lastPrinted>2022-09-02T16:33:00Z</cp:lastPrinted>
  <dcterms:created xsi:type="dcterms:W3CDTF">2023-05-23T20:08:00Z</dcterms:created>
  <dcterms:modified xsi:type="dcterms:W3CDTF">2023-05-24T21:43:00Z</dcterms:modified>
</cp:coreProperties>
</file>