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C235CF">
        <w:rPr>
          <w:rFonts w:ascii="Times New Roman" w:hAnsi="Times New Roman"/>
          <w:bCs/>
        </w:rPr>
        <w:t xml:space="preserve">DIRECCION </w:t>
      </w:r>
      <w:r w:rsidR="00824682">
        <w:rPr>
          <w:rFonts w:ascii="Times New Roman" w:hAnsi="Times New Roman"/>
          <w:bCs/>
        </w:rPr>
        <w:t>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00C235CF">
        <w:rPr>
          <w:rFonts w:ascii="Times New Roman" w:hAnsi="Times New Roman"/>
          <w:bCs/>
        </w:rPr>
        <w:t xml:space="preserve">, DE CONFORMIDAD CON LOS ARTICULOS 1 FRACCION II, 5, 10, 38 FRACCION I, 39 FRACCION II, 43 FRACCION I, 45 Y 62 DE LA LEY DE OBRAS PUBLICAS Y SERVICIOS RELACIONADOS CON LAS MISMAS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00C235CF">
        <w:rPr>
          <w:rFonts w:ascii="Times New Roman" w:hAnsi="Times New Roman"/>
          <w:bCs/>
        </w:rPr>
        <w:t xml:space="preserve"> DISPOSICIONES ADMINISTRATIVAS VIGENTES EN LA MATERIA, CONVOCA A PARTICIPAR EN LA LICITACION RESTRINGIDA INVITACION A CUANDO MENOS TRES PERSONAS </w:t>
      </w:r>
      <w:r w:rsidR="001A45C6">
        <w:rPr>
          <w:rFonts w:ascii="Times New Roman" w:hAnsi="Times New Roman"/>
          <w:b/>
          <w:bCs/>
        </w:rPr>
        <w:t>NO. FU20-FISMDF</w:t>
      </w:r>
      <w:r w:rsidR="00C235CF" w:rsidRPr="00C235CF">
        <w:rPr>
          <w:rFonts w:ascii="Times New Roman" w:hAnsi="Times New Roman"/>
          <w:b/>
          <w:bCs/>
        </w:rPr>
        <w:t>/OP-</w:t>
      </w:r>
      <w:r w:rsidR="00C235CF">
        <w:rPr>
          <w:rFonts w:ascii="Times New Roman" w:hAnsi="Times New Roman"/>
          <w:b/>
          <w:bCs/>
        </w:rPr>
        <w:t>00</w:t>
      </w:r>
      <w:r w:rsidR="001A45C6">
        <w:rPr>
          <w:rFonts w:ascii="Times New Roman" w:hAnsi="Times New Roman"/>
          <w:b/>
          <w:bCs/>
        </w:rPr>
        <w:t>1</w:t>
      </w:r>
      <w:r w:rsidR="00C235CF">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5763C4">
        <w:rPr>
          <w:rFonts w:ascii="Times New Roman" w:hAnsi="Times New Roman"/>
          <w:b/>
          <w:bCs/>
        </w:rPr>
        <w:t>FU20</w:t>
      </w:r>
      <w:r w:rsidR="001A45C6">
        <w:rPr>
          <w:rFonts w:ascii="Times New Roman" w:hAnsi="Times New Roman"/>
          <w:b/>
          <w:bCs/>
        </w:rPr>
        <w:t>-FISMDF</w:t>
      </w:r>
      <w:r w:rsidR="00AF0D12">
        <w:rPr>
          <w:rFonts w:ascii="Times New Roman" w:hAnsi="Times New Roman"/>
          <w:b/>
          <w:bCs/>
        </w:rPr>
        <w:t>/OP-00</w:t>
      </w:r>
      <w:r w:rsidR="001A45C6">
        <w:rPr>
          <w:rFonts w:ascii="Times New Roman" w:hAnsi="Times New Roman"/>
          <w:b/>
          <w:bCs/>
        </w:rPr>
        <w:t>1</w:t>
      </w:r>
      <w:r w:rsidR="00C235CF">
        <w:rPr>
          <w:rFonts w:ascii="Times New Roman" w:hAnsi="Times New Roman"/>
          <w:b/>
          <w:bCs/>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7C6041">
        <w:rPr>
          <w:rFonts w:ascii="Times New Roman" w:hAnsi="Times New Roman"/>
          <w:b/>
        </w:rPr>
        <w:t xml:space="preserve">SUMINISTRO Y COLOCACION DE LUMINARIAS LED </w:t>
      </w:r>
      <w:r w:rsidR="00C235CF">
        <w:rPr>
          <w:rFonts w:ascii="Times New Roman" w:hAnsi="Times New Roman"/>
          <w:b/>
        </w:rPr>
        <w:t>EN LA CABECERA MUNICIPAL DE EL FUERTE,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763C4">
        <w:rPr>
          <w:rFonts w:ascii="Times New Roman" w:hAnsi="Times New Roman"/>
          <w:spacing w:val="-2"/>
          <w:sz w:val="20"/>
          <w:szCs w:val="20"/>
          <w:lang w:val="es-ES_tradnl"/>
        </w:rPr>
        <w:t>del fondo de infraestructura social municipal</w:t>
      </w:r>
      <w:r w:rsidR="005C4A97" w:rsidRPr="005C4A97">
        <w:rPr>
          <w:rFonts w:ascii="Times New Roman" w:hAnsi="Times New Roman"/>
          <w:spacing w:val="-2"/>
          <w:sz w:val="20"/>
          <w:szCs w:val="20"/>
          <w:lang w:val="es-ES_tradnl"/>
        </w:rPr>
        <w:t>,</w:t>
      </w:r>
      <w:r w:rsidRPr="005C4A97">
        <w:rPr>
          <w:rFonts w:ascii="Times New Roman" w:hAnsi="Times New Roman"/>
          <w:spacing w:val="-3"/>
          <w:sz w:val="20"/>
          <w:szCs w:val="20"/>
          <w:lang w:val="es-ES_tradnl"/>
        </w:rPr>
        <w:t xml:space="preserve"> que fueron autorizados </w:t>
      </w:r>
      <w:r w:rsidR="007C6041">
        <w:rPr>
          <w:rFonts w:ascii="Times New Roman" w:hAnsi="Times New Roman"/>
          <w:spacing w:val="-3"/>
          <w:sz w:val="20"/>
          <w:szCs w:val="20"/>
          <w:lang w:val="es-ES_tradnl"/>
        </w:rPr>
        <w:t>por ejercicio fiscal del año 2020</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6E6DEB">
        <w:rPr>
          <w:rFonts w:ascii="Times New Roman" w:hAnsi="Times New Roman"/>
          <w:b/>
          <w:spacing w:val="-2"/>
          <w:sz w:val="20"/>
          <w:szCs w:val="20"/>
          <w:lang w:val="es-ES_tradnl"/>
        </w:rPr>
        <w:t>02 de Septiembre del 2020</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F3BC7">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w:t>
      </w:r>
      <w:bookmarkStart w:id="0" w:name="_GoBack"/>
      <w:bookmarkEnd w:id="0"/>
      <w:r>
        <w:rPr>
          <w:rFonts w:ascii="Times New Roman" w:hAnsi="Times New Roman"/>
          <w:spacing w:val="-2"/>
          <w:sz w:val="20"/>
          <w:szCs w:val="20"/>
          <w:lang w:val="es-ES_tradnl"/>
        </w:rPr>
        <w:t>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8B1972" w:rsidP="00073AA1">
      <w:pPr>
        <w:pStyle w:val="Sangra2detindependiente"/>
        <w:ind w:left="567" w:hanging="283"/>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6E6DEB">
        <w:rPr>
          <w:rFonts w:ascii="Times New Roman" w:hAnsi="Times New Roman"/>
          <w:b/>
          <w:spacing w:val="-2"/>
          <w:sz w:val="20"/>
          <w:szCs w:val="20"/>
          <w:lang w:val="es-ES_tradnl"/>
        </w:rPr>
        <w:t>10 de Septiembre del 2020</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6E6DEB">
        <w:rPr>
          <w:rFonts w:ascii="Times New Roman" w:hAnsi="Times New Roman"/>
          <w:b/>
          <w:spacing w:val="-2"/>
          <w:sz w:val="20"/>
          <w:szCs w:val="20"/>
          <w:lang w:val="es-ES_tradnl"/>
        </w:rPr>
        <w:t>08 de Diciembre</w:t>
      </w:r>
      <w:r w:rsidR="008B3D80">
        <w:rPr>
          <w:rFonts w:ascii="Times New Roman" w:hAnsi="Times New Roman"/>
          <w:b/>
          <w:spacing w:val="-2"/>
          <w:sz w:val="20"/>
          <w:szCs w:val="20"/>
          <w:lang w:val="es-ES_tradnl"/>
        </w:rPr>
        <w:t xml:space="preserve">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6E6DEB">
        <w:rPr>
          <w:rFonts w:ascii="Times New Roman" w:hAnsi="Times New Roman"/>
          <w:b/>
          <w:spacing w:val="-2"/>
          <w:sz w:val="20"/>
          <w:szCs w:val="20"/>
          <w:lang w:val="es-ES_tradnl"/>
        </w:rPr>
        <w:t>24 de Agosto</w:t>
      </w:r>
      <w:r w:rsidR="006E6DEB">
        <w:rPr>
          <w:rFonts w:ascii="Times New Roman" w:hAnsi="Times New Roman"/>
          <w:b/>
          <w:bCs/>
          <w:spacing w:val="-2"/>
          <w:sz w:val="20"/>
          <w:szCs w:val="20"/>
          <w:lang w:val="es-ES_tradnl"/>
        </w:rPr>
        <w:t xml:space="preserve"> del 2020</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6E6DEB">
        <w:rPr>
          <w:rFonts w:ascii="Times New Roman" w:hAnsi="Times New Roman"/>
          <w:spacing w:val="-2"/>
          <w:sz w:val="20"/>
          <w:szCs w:val="20"/>
          <w:lang w:val="es-ES_tradnl"/>
        </w:rPr>
        <w:t>en calle 5 de Mayo S/N palacio municipal</w:t>
      </w:r>
      <w:r w:rsidR="00D720BA">
        <w:rPr>
          <w:rFonts w:ascii="Times New Roman" w:hAnsi="Times New Roman"/>
          <w:spacing w:val="-2"/>
          <w:sz w:val="20"/>
          <w:szCs w:val="20"/>
          <w:lang w:val="es-ES_tradnl"/>
        </w:rPr>
        <w:t xml:space="preserve"> col. Centro,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4D6A11">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6E6DEB">
        <w:rPr>
          <w:rFonts w:ascii="Times New Roman" w:hAnsi="Times New Roman"/>
          <w:b/>
          <w:spacing w:val="-2"/>
          <w:sz w:val="20"/>
          <w:szCs w:val="20"/>
          <w:lang w:val="es-ES_tradnl"/>
        </w:rPr>
        <w:t>26 de Agosto del 2020</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6E6DEB">
        <w:rPr>
          <w:rFonts w:ascii="Times New Roman" w:hAnsi="Times New Roman"/>
          <w:b/>
          <w:spacing w:val="-2"/>
          <w:sz w:val="20"/>
          <w:szCs w:val="20"/>
          <w:lang w:val="es-ES_tradnl"/>
        </w:rPr>
        <w:t>07 de Septiembre del 2020</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4D6A11">
        <w:rPr>
          <w:rFonts w:ascii="Times New Roman" w:hAnsi="Times New Roman"/>
          <w:b/>
          <w:bCs/>
          <w:spacing w:val="-2"/>
          <w:sz w:val="20"/>
          <w:szCs w:val="20"/>
          <w:lang w:val="es-ES_tradnl"/>
        </w:rPr>
        <w:t>10</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6E6DEB">
        <w:rPr>
          <w:rFonts w:ascii="Times New Roman" w:hAnsi="Times New Roman"/>
          <w:b/>
          <w:spacing w:val="-2"/>
          <w:sz w:val="20"/>
          <w:szCs w:val="20"/>
          <w:lang w:val="es-ES_tradnl"/>
        </w:rPr>
        <w:t>14</w:t>
      </w:r>
      <w:r w:rsidR="00A86958" w:rsidRPr="00CF5E81">
        <w:rPr>
          <w:rFonts w:ascii="Times New Roman" w:hAnsi="Times New Roman"/>
          <w:b/>
          <w:spacing w:val="-2"/>
          <w:sz w:val="20"/>
          <w:szCs w:val="20"/>
          <w:lang w:val="es-ES_tradnl"/>
        </w:rPr>
        <w:t xml:space="preserve"> d</w:t>
      </w:r>
      <w:r w:rsidR="006E6DEB">
        <w:rPr>
          <w:rFonts w:ascii="Times New Roman" w:hAnsi="Times New Roman"/>
          <w:b/>
          <w:spacing w:val="-2"/>
          <w:sz w:val="20"/>
          <w:szCs w:val="20"/>
          <w:lang w:val="es-ES_tradnl"/>
        </w:rPr>
        <w:t>e Agosto del 2020</w:t>
      </w:r>
      <w:r w:rsidR="00053F71" w:rsidRPr="00AD110F">
        <w:rPr>
          <w:rFonts w:ascii="Times New Roman" w:hAnsi="Times New Roman"/>
          <w:sz w:val="20"/>
          <w:szCs w:val="20"/>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AC" w:rsidRDefault="002843AC">
      <w:pPr>
        <w:spacing w:line="20" w:lineRule="exact"/>
        <w:rPr>
          <w:sz w:val="20"/>
        </w:rPr>
      </w:pPr>
    </w:p>
  </w:endnote>
  <w:endnote w:type="continuationSeparator" w:id="0">
    <w:p w:rsidR="002843AC" w:rsidRDefault="002843AC">
      <w:r>
        <w:rPr>
          <w:sz w:val="20"/>
        </w:rPr>
        <w:t xml:space="preserve"> </w:t>
      </w:r>
    </w:p>
  </w:endnote>
  <w:endnote w:type="continuationNotice" w:id="1">
    <w:p w:rsidR="002843AC" w:rsidRDefault="002843A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AC" w:rsidRDefault="002843AC">
      <w:r>
        <w:rPr>
          <w:sz w:val="20"/>
        </w:rPr>
        <w:separator/>
      </w:r>
    </w:p>
  </w:footnote>
  <w:footnote w:type="continuationSeparator" w:id="0">
    <w:p w:rsidR="002843AC" w:rsidRDefault="0028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C235CF" w:rsidRDefault="00C235CF" w:rsidP="00BC78CD">
    <w:pPr>
      <w:pStyle w:val="Subttulo"/>
      <w:rPr>
        <w:sz w:val="30"/>
        <w:szCs w:val="30"/>
      </w:rPr>
    </w:pPr>
    <w:r>
      <w:rPr>
        <w:sz w:val="30"/>
        <w:szCs w:val="30"/>
      </w:rPr>
      <w:t>INVITACION A CUANDO MENOS TRES PERSONAS</w:t>
    </w:r>
  </w:p>
  <w:p w:rsidR="00347F5C" w:rsidRPr="00A729E3" w:rsidRDefault="007C6041" w:rsidP="00BC78CD">
    <w:pPr>
      <w:pStyle w:val="Subttulo"/>
      <w:rPr>
        <w:sz w:val="30"/>
        <w:szCs w:val="30"/>
      </w:rPr>
    </w:pPr>
    <w:r>
      <w:rPr>
        <w:sz w:val="30"/>
        <w:szCs w:val="30"/>
      </w:rPr>
      <w:t xml:space="preserve"> NO.FU20-FISM</w:t>
    </w:r>
    <w:r w:rsidR="001A45C6">
      <w:rPr>
        <w:sz w:val="30"/>
        <w:szCs w:val="30"/>
      </w:rPr>
      <w:t>DF/OP</w:t>
    </w:r>
    <w:r>
      <w:rPr>
        <w:sz w:val="30"/>
        <w:szCs w:val="30"/>
      </w:rPr>
      <w:t>-001</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5763C4">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5763C4">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79B"/>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5C6"/>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843AC"/>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2898"/>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6A11"/>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63C4"/>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E6DEB"/>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0F6E"/>
    <w:rsid w:val="0078772E"/>
    <w:rsid w:val="00790C90"/>
    <w:rsid w:val="007A3334"/>
    <w:rsid w:val="007A5929"/>
    <w:rsid w:val="007A7862"/>
    <w:rsid w:val="007C46FB"/>
    <w:rsid w:val="007C6041"/>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D110F"/>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35CF"/>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E6A"/>
    <w:rsid w:val="00C960E9"/>
    <w:rsid w:val="00C97DA8"/>
    <w:rsid w:val="00CA4735"/>
    <w:rsid w:val="00CC412E"/>
    <w:rsid w:val="00CC46EF"/>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3F33"/>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950E6"/>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9A44-E8BC-4B58-B3D8-CEB52C6E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6783</Words>
  <Characters>37311</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16</cp:revision>
  <cp:lastPrinted>2019-09-02T14:50:00Z</cp:lastPrinted>
  <dcterms:created xsi:type="dcterms:W3CDTF">2019-07-16T19:53:00Z</dcterms:created>
  <dcterms:modified xsi:type="dcterms:W3CDTF">2020-08-13T15:03:00Z</dcterms:modified>
</cp:coreProperties>
</file>