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1D1538" w:rsidRPr="001D1538">
        <w:rPr>
          <w:rFonts w:cs="Arial"/>
          <w:i w:val="0"/>
          <w:color w:val="000000"/>
          <w:lang w:eastAsia="es-ES"/>
        </w:rPr>
        <w:t>(038AH19PR) Construcción de 39 cuartos dormitorios (15.10 m2), en distintas localidades de la Sindicatura San Miguel Zapotitlán, El Porvenir (4), Flor Azul (3), Goros No. 2 (16), Pueblo Nuevo San Miguel (16),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B2D0F" w:rsidRDefault="00EB2D0F"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 xml:space="preserve">en los términos previstos en la Ley de Obras Públicas y </w:t>
      </w:r>
      <w:r w:rsidR="006A2A63" w:rsidRPr="00857388">
        <w:rPr>
          <w:rFonts w:cs="Arial"/>
          <w:i w:val="0"/>
          <w:sz w:val="20"/>
        </w:rPr>
        <w:lastRenderedPageBreak/>
        <w:t>Servicios Relacionados  con Las Mismas del Estado de Sinaloa;</w:t>
      </w:r>
    </w:p>
    <w:p w:rsidR="00D51C81" w:rsidRPr="00857388" w:rsidRDefault="00D51C81" w:rsidP="00D51C81">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2F5087">
        <w:rPr>
          <w:rFonts w:cs="Arial"/>
          <w:b/>
          <w:i w:val="0"/>
          <w:noProof/>
          <w:color w:val="000000"/>
          <w:sz w:val="20"/>
          <w:highlight w:val="yellow"/>
        </w:rPr>
        <w:t>6</w:t>
      </w:r>
      <w:r w:rsidR="00EB6BDD">
        <w:rPr>
          <w:rFonts w:cs="Arial"/>
          <w:b/>
          <w:i w:val="0"/>
          <w:noProof/>
          <w:color w:val="000000"/>
          <w:sz w:val="20"/>
          <w:highlight w:val="yellow"/>
        </w:rPr>
        <w:t>A</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EB6BDD">
        <w:rPr>
          <w:rFonts w:cs="Arial"/>
          <w:b/>
          <w:i w:val="0"/>
          <w:sz w:val="20"/>
          <w:highlight w:val="yellow"/>
        </w:rPr>
        <w:t>20</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4B1ECB">
        <w:rPr>
          <w:rFonts w:cs="Arial"/>
          <w:b/>
          <w:i w:val="0"/>
          <w:highlight w:val="yellow"/>
        </w:rPr>
        <w:t>FISMDF-0282</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4B1ECB" w:rsidRPr="004B1ECB">
        <w:rPr>
          <w:rFonts w:cs="Arial"/>
          <w:b/>
          <w:i w:val="0"/>
          <w:color w:val="000000"/>
          <w:highlight w:val="yellow"/>
          <w:lang w:eastAsia="es-ES"/>
        </w:rPr>
        <w:t>(038AH19PR) Construcción de 39 cuartos dormitorios (15.10 m2), en distintas localidades de la Sindicatura San Miguel Zapotitlán, El Porvenir (4), Flor Azul (3), Goros No. 2 (16), Pueblo Nuevo San Miguel (16),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10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252E3D">
        <w:rPr>
          <w:rFonts w:cs="Arial"/>
          <w:b/>
          <w:i w:val="0"/>
          <w:noProof/>
          <w:color w:val="000000"/>
          <w:highlight w:val="yellow"/>
        </w:rPr>
        <w:t>07 de Octu</w:t>
      </w:r>
      <w:r w:rsidR="000C279B">
        <w:rPr>
          <w:rFonts w:cs="Arial"/>
          <w:b/>
          <w:i w:val="0"/>
          <w:noProof/>
          <w:color w:val="000000"/>
          <w:highlight w:val="yellow"/>
        </w:rPr>
        <w:t xml:space="preserve">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 xml:space="preserve">Los licitantes elaborarán sus programas de ejecución considerando lo indicado en el punto 1.3 y con el plazo </w:t>
      </w:r>
      <w:r w:rsidRPr="00857388">
        <w:rPr>
          <w:rFonts w:cs="Arial"/>
          <w:i w:val="0"/>
          <w:sz w:val="20"/>
        </w:rPr>
        <w:lastRenderedPageBreak/>
        <w:t>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B02CD5">
        <w:rPr>
          <w:rFonts w:cs="Arial"/>
          <w:b/>
          <w:i w:val="0"/>
          <w:highlight w:val="yellow"/>
        </w:rPr>
        <w:t>25</w:t>
      </w:r>
      <w:r w:rsidR="00466CF8">
        <w:rPr>
          <w:rFonts w:cs="Arial"/>
          <w:b/>
          <w:i w:val="0"/>
          <w:highlight w:val="yellow"/>
        </w:rPr>
        <w:t xml:space="preserve">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BF1710">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B02CD5">
        <w:rPr>
          <w:rFonts w:cs="Arial"/>
          <w:b/>
          <w:i w:val="0"/>
          <w:noProof/>
          <w:highlight w:val="yellow"/>
        </w:rPr>
        <w:t>27</w:t>
      </w:r>
      <w:r w:rsidR="007A6301">
        <w:rPr>
          <w:rFonts w:cs="Arial"/>
          <w:b/>
          <w:i w:val="0"/>
          <w:noProof/>
          <w:highlight w:val="yellow"/>
        </w:rPr>
        <w:t xml:space="preserve">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w:t>
      </w:r>
      <w:r w:rsidR="008768D2" w:rsidRPr="00857388">
        <w:rPr>
          <w:rFonts w:cs="Arial"/>
          <w:i w:val="0"/>
          <w:color w:val="000000"/>
        </w:rPr>
        <w:lastRenderedPageBreak/>
        <w:t xml:space="preserve">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lastRenderedPageBreak/>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w:t>
      </w:r>
      <w:r w:rsidR="000D0CBF" w:rsidRPr="00857388">
        <w:rPr>
          <w:rFonts w:cs="Arial"/>
          <w:b w:val="0"/>
          <w:bCs/>
          <w:color w:val="000000"/>
          <w:sz w:val="20"/>
          <w:lang w:val="es-MX"/>
        </w:rPr>
        <w:lastRenderedPageBreak/>
        <w:t xml:space="preserve">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w:t>
      </w:r>
      <w:r w:rsidRPr="00857388">
        <w:rPr>
          <w:rFonts w:cs="Arial"/>
          <w:b w:val="0"/>
          <w:i w:val="0"/>
          <w:color w:val="000000"/>
          <w:u w:val="none"/>
        </w:rPr>
        <w:lastRenderedPageBreak/>
        <w:t>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w:t>
            </w:r>
            <w:r w:rsidRPr="00857388">
              <w:rPr>
                <w:i w:val="0"/>
                <w:sz w:val="20"/>
                <w:szCs w:val="20"/>
              </w:rPr>
              <w:lastRenderedPageBreak/>
              <w:t xml:space="preserve">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CA363F" w:rsidRPr="00601BB8" w:rsidRDefault="00CA363F" w:rsidP="00371733">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71733">
              <w:rPr>
                <w:i w:val="0"/>
                <w:sz w:val="20"/>
                <w:szCs w:val="20"/>
              </w:rPr>
              <w:t>3</w:t>
            </w:r>
            <w:r w:rsidRPr="00857388">
              <w:rPr>
                <w:i w:val="0"/>
                <w:sz w:val="20"/>
                <w:szCs w:val="20"/>
              </w:rPr>
              <w:t xml:space="preserve"> (</w:t>
            </w:r>
            <w:r w:rsidR="00371733">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556FCA" w:rsidRPr="00857388" w:rsidRDefault="00556FCA"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0"/>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ANÁLISIS DEL TOTAL DE LOS PRECIOS UNITARIOS DE LOS CONCEPTOS DE TRABAJO, DETERMINADOS Y ESTRUCTURADOS CON COSTOS DIRECTOS, INDIRECTOS, DE FINANCIAMIENTO, CARGO POR UTILIDAD Y CARGOS ADICIONALES, DONDE SE </w:t>
            </w:r>
            <w:r w:rsidRPr="00857388">
              <w:rPr>
                <w:i w:val="0"/>
                <w:sz w:val="20"/>
                <w:szCs w:val="20"/>
              </w:rPr>
              <w:lastRenderedPageBreak/>
              <w:t>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556FCA">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857388">
              <w:rPr>
                <w:rFonts w:cs="Arial"/>
                <w:i w:val="0"/>
              </w:rPr>
              <w:lastRenderedPageBreak/>
              <w:t>LOS LICITANTES QUE ASISTAN AL ACTO DE FALLO DEBERÁN TRAER EL RECIBO QUE SE LE PROPORCIONA EN EL ACTO DE APERTURA DE PROPUESTAS ECONÓMICAS.</w:t>
            </w:r>
          </w:p>
          <w:p w:rsidR="009627B7" w:rsidRPr="00556FCA" w:rsidRDefault="009627B7"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w:t>
      </w:r>
      <w:r w:rsidRPr="00857388">
        <w:rPr>
          <w:rFonts w:cs="Arial"/>
          <w:i w:val="0"/>
        </w:rPr>
        <w:lastRenderedPageBreak/>
        <w:t xml:space="preserve">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0"/>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3B6980">
        <w:rPr>
          <w:rFonts w:cs="Arial"/>
          <w:b/>
          <w:i w:val="0"/>
          <w:highlight w:val="yellow"/>
        </w:rPr>
        <w:t>11</w:t>
      </w:r>
      <w:r w:rsidRPr="00857388">
        <w:rPr>
          <w:rFonts w:cs="Arial"/>
          <w:b/>
          <w:i w:val="0"/>
          <w:highlight w:val="yellow"/>
        </w:rPr>
        <w:t>:</w:t>
      </w:r>
      <w:r w:rsidR="003B6980">
        <w:rPr>
          <w:rFonts w:cs="Arial"/>
          <w:b/>
          <w:i w:val="0"/>
          <w:highlight w:val="yellow"/>
        </w:rPr>
        <w:t>1</w:t>
      </w:r>
      <w:r w:rsidR="003B6980" w:rsidRPr="003B6980">
        <w:rPr>
          <w:rFonts w:cs="Arial"/>
          <w:b/>
          <w:i w:val="0"/>
          <w:highlight w:val="yellow"/>
        </w:rPr>
        <w:t>5</w:t>
      </w:r>
      <w:r w:rsidR="000C279B">
        <w:rPr>
          <w:rFonts w:cs="Arial"/>
          <w:b/>
          <w:i w:val="0"/>
        </w:rPr>
        <w:t xml:space="preserve"> horas, el día </w:t>
      </w:r>
      <w:r w:rsidR="00BB73E5">
        <w:rPr>
          <w:rFonts w:cs="Arial"/>
          <w:b/>
          <w:i w:val="0"/>
          <w:highlight w:val="yellow"/>
        </w:rPr>
        <w:t>03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Pr="00857388"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7F61AC">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C213D4">
        <w:rPr>
          <w:rFonts w:cs="Arial"/>
          <w:b/>
          <w:bCs/>
          <w:i w:val="0"/>
          <w:color w:val="000000"/>
          <w:sz w:val="20"/>
          <w:highlight w:val="yellow"/>
        </w:rPr>
        <w:t>05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9F3095">
        <w:rPr>
          <w:rFonts w:cs="Arial"/>
          <w:b/>
          <w:bCs/>
          <w:i w:val="0"/>
          <w:color w:val="000000"/>
          <w:highlight w:val="yellow"/>
          <w:lang w:val="es-ES_tradnl"/>
        </w:rPr>
        <w:t>3</w:t>
      </w:r>
      <w:r w:rsidR="004B3B87" w:rsidRPr="00857388">
        <w:rPr>
          <w:rFonts w:cs="Arial"/>
          <w:b/>
          <w:bCs/>
          <w:i w:val="0"/>
          <w:color w:val="000000"/>
          <w:highlight w:val="yellow"/>
          <w:lang w:val="es-ES_tradnl"/>
        </w:rPr>
        <w:t>:</w:t>
      </w:r>
      <w:r w:rsidR="007F61AC">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7F61AC">
        <w:rPr>
          <w:rFonts w:cs="Arial"/>
          <w:b/>
          <w:bCs/>
          <w:i w:val="0"/>
          <w:color w:val="000000"/>
          <w:highlight w:val="yellow"/>
          <w:lang w:val="es-ES_tradnl"/>
        </w:rPr>
        <w:t>4</w:t>
      </w:r>
      <w:r w:rsidR="000C279B">
        <w:rPr>
          <w:rFonts w:cs="Arial"/>
          <w:b/>
          <w:bCs/>
          <w:i w:val="0"/>
          <w:color w:val="000000"/>
          <w:highlight w:val="yellow"/>
          <w:lang w:val="es-ES_tradnl"/>
        </w:rPr>
        <w:t>:</w:t>
      </w:r>
      <w:r w:rsidR="007F61A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lastRenderedPageBreak/>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w:t>
      </w:r>
      <w:r w:rsidRPr="00857388">
        <w:rPr>
          <w:rFonts w:cs="Arial"/>
          <w:i w:val="0"/>
        </w:rPr>
        <w:lastRenderedPageBreak/>
        <w:t xml:space="preserve">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w:t>
      </w:r>
      <w:r w:rsidRPr="00857388">
        <w:rPr>
          <w:sz w:val="20"/>
          <w:szCs w:val="20"/>
        </w:rPr>
        <w:lastRenderedPageBreak/>
        <w:t xml:space="preserve">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 xml:space="preserve">Previamente a la firma del contrato, el licitante ganador presentará para su cotejo, copia certificada de los documentos con los que se acredite la existencia legal de la persona moral y las facultades de su </w:t>
      </w:r>
      <w:r w:rsidRPr="00857388">
        <w:rPr>
          <w:rFonts w:cs="Arial"/>
          <w:i w:val="0"/>
        </w:rPr>
        <w:lastRenderedPageBreak/>
        <w:t>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w:t>
      </w:r>
      <w:r w:rsidRPr="00857388">
        <w:rPr>
          <w:rFonts w:eastAsia="Times New Roman" w:cs="Arial"/>
          <w:color w:val="000000"/>
          <w:sz w:val="20"/>
        </w:rPr>
        <w:lastRenderedPageBreak/>
        <w:t>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lastRenderedPageBreak/>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w:t>
      </w:r>
      <w:r w:rsidRPr="00857388">
        <w:rPr>
          <w:rFonts w:cs="Arial"/>
          <w:b w:val="0"/>
          <w:i w:val="0"/>
          <w:u w:val="none"/>
        </w:rPr>
        <w:lastRenderedPageBreak/>
        <w:t>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w:t>
      </w:r>
      <w:r w:rsidRPr="00857388">
        <w:rPr>
          <w:rFonts w:cs="Arial"/>
          <w:i w:val="0"/>
        </w:rPr>
        <w:lastRenderedPageBreak/>
        <w:t xml:space="preserve">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w:t>
      </w:r>
      <w:r w:rsidRPr="00857388">
        <w:rPr>
          <w:rFonts w:cs="Arial"/>
          <w:i w:val="0"/>
        </w:rPr>
        <w:lastRenderedPageBreak/>
        <w:t>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0"/>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w:t>
      </w:r>
      <w:r w:rsidRPr="00857388">
        <w:rPr>
          <w:rFonts w:eastAsia="Times New Roman" w:cs="Arial"/>
          <w:i w:val="0"/>
          <w:lang w:val="es-MX"/>
        </w:rPr>
        <w:lastRenderedPageBreak/>
        <w:t>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CF27D7" w:rsidRPr="00857388" w:rsidRDefault="00CF27D7" w:rsidP="00F369F9">
      <w:pPr>
        <w:pStyle w:val="Textoindependiente210"/>
        <w:ind w:left="0"/>
        <w:rPr>
          <w:rFonts w:eastAsia="Times New Roman" w:cs="Arial"/>
          <w:i w:val="0"/>
          <w:lang w:val="es-MX"/>
        </w:rPr>
      </w:pPr>
    </w:p>
    <w:p w:rsidR="000D0CBF" w:rsidRPr="00857388" w:rsidRDefault="00F369F9" w:rsidP="000C279B">
      <w:pPr>
        <w:pStyle w:val="Textoindependiente210"/>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Pr="00857388" w:rsidRDefault="000A20FB" w:rsidP="00770DCD">
      <w:pPr>
        <w:pStyle w:val="Textoindependiente22"/>
        <w:rPr>
          <w:rFonts w:cs="Arial"/>
          <w:color w:val="000000"/>
          <w:sz w:val="20"/>
        </w:rPr>
      </w:pPr>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Default="00532C13" w:rsidP="00770DCD">
      <w:pPr>
        <w:jc w:val="both"/>
        <w:rPr>
          <w:rFonts w:cs="Arial"/>
          <w:i w:val="0"/>
          <w:lang w:val="es-ES"/>
        </w:rPr>
      </w:pP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D62D08">
        <w:rPr>
          <w:rFonts w:cs="Arial"/>
          <w:b/>
          <w:i w:val="0"/>
          <w:highlight w:val="yellow"/>
          <w:lang w:val="es-ES"/>
        </w:rPr>
        <w:t>20</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736A67" w:rsidRDefault="00736A67" w:rsidP="00770DCD">
      <w:pPr>
        <w:rPr>
          <w:rFonts w:cs="Arial"/>
          <w:i w:val="0"/>
          <w:lang w:val="es-ES"/>
        </w:rPr>
      </w:pP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Default="00770DCD" w:rsidP="00770DCD">
      <w:pPr>
        <w:rPr>
          <w:rFonts w:cs="Arial"/>
          <w:i w:val="0"/>
          <w:lang w:val="es-ES"/>
        </w:rPr>
      </w:pPr>
    </w:p>
    <w:p w:rsidR="00736A67" w:rsidRDefault="00736A67" w:rsidP="00770DCD">
      <w:pPr>
        <w:rPr>
          <w:rFonts w:cs="Arial"/>
          <w:i w:val="0"/>
          <w:lang w:val="es-ES"/>
        </w:rPr>
      </w:pPr>
    </w:p>
    <w:p w:rsidR="00736A67" w:rsidRPr="00857388" w:rsidRDefault="00736A67"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15" w:rsidRDefault="00573A15">
      <w:r>
        <w:separator/>
      </w:r>
    </w:p>
  </w:endnote>
  <w:endnote w:type="continuationSeparator" w:id="0">
    <w:p w:rsidR="00573A15" w:rsidRDefault="005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8" w:rsidRDefault="001D153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1D1538" w:rsidRDefault="001D1538">
    <w:pPr>
      <w:ind w:right="360"/>
      <w:jc w:val="right"/>
      <w:rPr>
        <w:rStyle w:val="Nmerodepgina"/>
      </w:rPr>
    </w:pPr>
  </w:p>
  <w:p w:rsidR="001D1538" w:rsidRDefault="001D153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8" w:rsidRPr="00370863" w:rsidRDefault="001D153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CONC-FISMDF-DGOYSP-DOP-06A-19</w:t>
    </w:r>
  </w:p>
  <w:p w:rsidR="001D1538" w:rsidRDefault="001D1538" w:rsidP="007D69C3">
    <w:pPr>
      <w:pStyle w:val="Textoindependiente31"/>
      <w:rPr>
        <w:rFonts w:cs="Arial"/>
        <w:i w:val="0"/>
        <w:color w:val="000000"/>
        <w:sz w:val="14"/>
        <w:szCs w:val="14"/>
        <w:lang w:eastAsia="es-ES"/>
      </w:rPr>
    </w:pPr>
    <w:r>
      <w:rPr>
        <w:rFonts w:cs="Arial"/>
        <w:i w:val="0"/>
        <w:color w:val="000000"/>
        <w:sz w:val="14"/>
        <w:szCs w:val="14"/>
        <w:lang w:eastAsia="es-ES"/>
      </w:rPr>
      <w:t>(038</w:t>
    </w:r>
    <w:r w:rsidRPr="00CC2B72">
      <w:rPr>
        <w:rFonts w:cs="Arial"/>
        <w:i w:val="0"/>
        <w:color w:val="000000"/>
        <w:sz w:val="14"/>
        <w:szCs w:val="14"/>
        <w:lang w:eastAsia="es-ES"/>
      </w:rPr>
      <w:t>AH19PR) Construcción de 39 cuartos dormitorios (15.10 m2), en distintas localidades de la Sindicatura</w:t>
    </w:r>
    <w:r>
      <w:rPr>
        <w:rFonts w:cs="Arial"/>
        <w:i w:val="0"/>
        <w:color w:val="000000"/>
        <w:sz w:val="14"/>
        <w:szCs w:val="14"/>
        <w:lang w:eastAsia="es-ES"/>
      </w:rPr>
      <w:t xml:space="preserve"> San Miguel Zapotitlán, El Porvenir (4), Flor Azul (3), Goros No. 2 (16), Pueblo Nuevo San Miguel (16), Municipio de Ahome, Sinaloa.</w:t>
    </w:r>
  </w:p>
  <w:p w:rsidR="001D1538" w:rsidRPr="00973D16" w:rsidRDefault="001D153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371733">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371733">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8" w:rsidRDefault="001D153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1D1538" w:rsidRDefault="001D1538">
    <w:pPr>
      <w:ind w:right="360"/>
      <w:jc w:val="right"/>
      <w:rPr>
        <w:rStyle w:val="Nmerodepgina"/>
      </w:rPr>
    </w:pPr>
  </w:p>
  <w:p w:rsidR="001D1538" w:rsidRDefault="001D1538">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8" w:rsidRPr="00370863" w:rsidRDefault="001D153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1D1538" w:rsidRPr="006D79A7" w:rsidRDefault="001D1538"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1D1538" w:rsidRPr="00973D16" w:rsidRDefault="001D153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15" w:rsidRDefault="00573A15">
      <w:r>
        <w:separator/>
      </w:r>
    </w:p>
  </w:footnote>
  <w:footnote w:type="continuationSeparator" w:id="0">
    <w:p w:rsidR="00573A15" w:rsidRDefault="00573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1D1538">
      <w:trPr>
        <w:cantSplit/>
        <w:trHeight w:val="1151"/>
      </w:trPr>
      <w:tc>
        <w:tcPr>
          <w:tcW w:w="9627" w:type="dxa"/>
        </w:tcPr>
        <w:p w:rsidR="001D1538" w:rsidRPr="00D00CA9" w:rsidRDefault="001D1538" w:rsidP="00031E7A">
          <w:pPr>
            <w:pStyle w:val="Ttulo5"/>
            <w:rPr>
              <w:b/>
              <w:i w:val="0"/>
              <w:sz w:val="20"/>
            </w:rPr>
          </w:pPr>
          <w:r>
            <w:rPr>
              <w:b/>
              <w:i w:val="0"/>
              <w:sz w:val="20"/>
            </w:rPr>
            <w:t>MUNICIPIO DE AHOME</w:t>
          </w:r>
        </w:p>
        <w:p w:rsidR="001D1538" w:rsidRPr="00D00CA9" w:rsidRDefault="001D1538" w:rsidP="00031E7A">
          <w:pPr>
            <w:pStyle w:val="Ttulo5"/>
            <w:rPr>
              <w:b/>
              <w:i w:val="0"/>
              <w:sz w:val="10"/>
              <w:szCs w:val="10"/>
            </w:rPr>
          </w:pPr>
        </w:p>
        <w:p w:rsidR="001D1538" w:rsidRPr="00D00CA9" w:rsidRDefault="001D1538" w:rsidP="00031E7A">
          <w:pPr>
            <w:pStyle w:val="Ttulo5"/>
            <w:rPr>
              <w:b/>
              <w:i w:val="0"/>
              <w:sz w:val="20"/>
            </w:rPr>
          </w:pPr>
          <w:r>
            <w:rPr>
              <w:b/>
              <w:i w:val="0"/>
              <w:sz w:val="20"/>
            </w:rPr>
            <w:t>DIRECCIÓN GENERAL DE OBRAS Y SERVICIOS PÚBLICOS</w:t>
          </w:r>
        </w:p>
        <w:p w:rsidR="001D1538" w:rsidRPr="00D00CA9" w:rsidRDefault="001D1538" w:rsidP="00031E7A">
          <w:pPr>
            <w:pStyle w:val="Ttulo5"/>
            <w:rPr>
              <w:b/>
              <w:i w:val="0"/>
              <w:sz w:val="10"/>
              <w:szCs w:val="10"/>
            </w:rPr>
          </w:pPr>
        </w:p>
        <w:p w:rsidR="001D1538" w:rsidRPr="00D00CA9" w:rsidRDefault="001D1538" w:rsidP="00031E7A">
          <w:pPr>
            <w:jc w:val="center"/>
            <w:rPr>
              <w:b/>
              <w:i w:val="0"/>
              <w:sz w:val="10"/>
              <w:szCs w:val="10"/>
              <w:lang w:val="es-ES_tradnl"/>
            </w:rPr>
          </w:pPr>
        </w:p>
        <w:p w:rsidR="001D1538" w:rsidRDefault="001D1538" w:rsidP="00031E7A">
          <w:pPr>
            <w:pStyle w:val="Ttulo5"/>
            <w:rPr>
              <w:b/>
              <w:i w:val="0"/>
              <w:color w:val="000000"/>
              <w:sz w:val="20"/>
            </w:rPr>
          </w:pPr>
          <w:r>
            <w:rPr>
              <w:b/>
              <w:i w:val="0"/>
              <w:color w:val="000000"/>
              <w:sz w:val="20"/>
            </w:rPr>
            <w:t>INVITACIÓN A CUANDO MENOS TRES PERSONAS</w:t>
          </w:r>
        </w:p>
        <w:p w:rsidR="001D1538" w:rsidRPr="00D00CA9" w:rsidRDefault="001D153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CONC-FISMDF-DGOYSP-DOP-06A-19</w:t>
          </w:r>
        </w:p>
        <w:p w:rsidR="001D1538" w:rsidRDefault="001D1538" w:rsidP="00031E7A">
          <w:pPr>
            <w:pStyle w:val="Ttulo5"/>
            <w:rPr>
              <w:b/>
              <w:i w:val="0"/>
              <w:sz w:val="20"/>
            </w:rPr>
          </w:pPr>
          <w:r w:rsidRPr="00D00CA9">
            <w:rPr>
              <w:b/>
              <w:i w:val="0"/>
              <w:sz w:val="20"/>
            </w:rPr>
            <w:t>BASES DE OBRA PÚBLICA</w:t>
          </w:r>
        </w:p>
        <w:p w:rsidR="001D1538" w:rsidRPr="004D5995" w:rsidRDefault="001D1538" w:rsidP="00031E7A">
          <w:pPr>
            <w:jc w:val="center"/>
            <w:rPr>
              <w:b/>
              <w:i w:val="0"/>
              <w:lang w:val="es-ES_tradnl"/>
            </w:rPr>
          </w:pPr>
          <w:r w:rsidRPr="004D5995">
            <w:rPr>
              <w:b/>
              <w:i w:val="0"/>
              <w:lang w:val="es-ES_tradnl"/>
            </w:rPr>
            <w:t>(INSTRUCCIONES A LOS LICITANTES)</w:t>
          </w:r>
        </w:p>
      </w:tc>
    </w:tr>
  </w:tbl>
  <w:p w:rsidR="001D1538" w:rsidRDefault="001D1538"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8" w:rsidRDefault="001D153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573A15">
      <w:fldChar w:fldCharType="begin"/>
    </w:r>
    <w:r w:rsidR="00573A15">
      <w:instrText xml:space="preserve"> NUMPAGES </w:instrText>
    </w:r>
    <w:r w:rsidR="00573A15">
      <w:fldChar w:fldCharType="separate"/>
    </w:r>
    <w:r>
      <w:rPr>
        <w:noProof/>
      </w:rPr>
      <w:t>43</w:t>
    </w:r>
    <w:r w:rsidR="00573A1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1D1538">
      <w:trPr>
        <w:cantSplit/>
        <w:trHeight w:val="1151"/>
      </w:trPr>
      <w:tc>
        <w:tcPr>
          <w:tcW w:w="9627" w:type="dxa"/>
        </w:tcPr>
        <w:p w:rsidR="001D1538" w:rsidRPr="00D00CA9" w:rsidRDefault="001D1538" w:rsidP="00031E7A">
          <w:pPr>
            <w:pStyle w:val="Ttulo5"/>
            <w:rPr>
              <w:b/>
              <w:i w:val="0"/>
              <w:sz w:val="20"/>
            </w:rPr>
          </w:pPr>
          <w:r>
            <w:rPr>
              <w:b/>
              <w:i w:val="0"/>
              <w:sz w:val="20"/>
            </w:rPr>
            <w:t>MUNICIPIO DE AHOME</w:t>
          </w:r>
        </w:p>
        <w:p w:rsidR="001D1538" w:rsidRPr="00D00CA9" w:rsidRDefault="001D1538" w:rsidP="00031E7A">
          <w:pPr>
            <w:pStyle w:val="Ttulo5"/>
            <w:rPr>
              <w:b/>
              <w:i w:val="0"/>
              <w:sz w:val="10"/>
              <w:szCs w:val="10"/>
            </w:rPr>
          </w:pPr>
        </w:p>
        <w:p w:rsidR="001D1538" w:rsidRPr="00D00CA9" w:rsidRDefault="001D1538" w:rsidP="00031E7A">
          <w:pPr>
            <w:pStyle w:val="Ttulo5"/>
            <w:rPr>
              <w:b/>
              <w:i w:val="0"/>
              <w:sz w:val="20"/>
            </w:rPr>
          </w:pPr>
          <w:r>
            <w:rPr>
              <w:b/>
              <w:i w:val="0"/>
              <w:sz w:val="20"/>
            </w:rPr>
            <w:t>DIRECCIÓN GENERAL DE OBRAS Y SERVICIOS PÚBLICOS</w:t>
          </w:r>
        </w:p>
        <w:p w:rsidR="001D1538" w:rsidRPr="00D00CA9" w:rsidRDefault="001D1538" w:rsidP="00031E7A">
          <w:pPr>
            <w:pStyle w:val="Ttulo5"/>
            <w:rPr>
              <w:b/>
              <w:i w:val="0"/>
              <w:sz w:val="10"/>
              <w:szCs w:val="10"/>
            </w:rPr>
          </w:pPr>
        </w:p>
        <w:p w:rsidR="001D1538" w:rsidRPr="00D00CA9" w:rsidRDefault="001D1538" w:rsidP="00031E7A">
          <w:pPr>
            <w:jc w:val="center"/>
            <w:rPr>
              <w:b/>
              <w:i w:val="0"/>
              <w:sz w:val="10"/>
              <w:szCs w:val="10"/>
              <w:lang w:val="es-ES_tradnl"/>
            </w:rPr>
          </w:pPr>
        </w:p>
        <w:p w:rsidR="001D1538" w:rsidRDefault="001D1538"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1D1538" w:rsidRPr="00D00CA9" w:rsidRDefault="001D153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1D1538" w:rsidRDefault="001D1538" w:rsidP="00031E7A">
          <w:pPr>
            <w:pStyle w:val="Ttulo5"/>
            <w:rPr>
              <w:b/>
              <w:i w:val="0"/>
              <w:sz w:val="20"/>
            </w:rPr>
          </w:pPr>
          <w:r w:rsidRPr="00D00CA9">
            <w:rPr>
              <w:b/>
              <w:i w:val="0"/>
              <w:sz w:val="20"/>
            </w:rPr>
            <w:t>BASES DE OBRA PÚBLICA</w:t>
          </w:r>
        </w:p>
        <w:p w:rsidR="001D1538" w:rsidRPr="004D5995" w:rsidRDefault="001D1538" w:rsidP="00031E7A">
          <w:pPr>
            <w:jc w:val="center"/>
            <w:rPr>
              <w:b/>
              <w:i w:val="0"/>
              <w:lang w:val="es-ES_tradnl"/>
            </w:rPr>
          </w:pPr>
          <w:r w:rsidRPr="004D5995">
            <w:rPr>
              <w:b/>
              <w:i w:val="0"/>
              <w:lang w:val="es-ES_tradnl"/>
            </w:rPr>
            <w:t>(INSTRUCCIONES A LOS LICITANTES)</w:t>
          </w:r>
        </w:p>
      </w:tc>
    </w:tr>
  </w:tbl>
  <w:p w:rsidR="001D1538" w:rsidRDefault="001D1538"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8" w:rsidRDefault="001D153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573A15">
      <w:fldChar w:fldCharType="begin"/>
    </w:r>
    <w:r w:rsidR="00573A15">
      <w:instrText xml:space="preserve"> NUMPAGES </w:instrText>
    </w:r>
    <w:r w:rsidR="00573A15">
      <w:fldChar w:fldCharType="separate"/>
    </w:r>
    <w:r>
      <w:rPr>
        <w:noProof/>
      </w:rPr>
      <w:t>43</w:t>
    </w:r>
    <w:r w:rsidR="00573A1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57010"/>
    <w:rsid w:val="00060A63"/>
    <w:rsid w:val="000733AC"/>
    <w:rsid w:val="0007451F"/>
    <w:rsid w:val="000A20FB"/>
    <w:rsid w:val="000B19A8"/>
    <w:rsid w:val="000B2389"/>
    <w:rsid w:val="000B6945"/>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C09D8"/>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1733"/>
    <w:rsid w:val="003763BE"/>
    <w:rsid w:val="00383970"/>
    <w:rsid w:val="003850A0"/>
    <w:rsid w:val="00386308"/>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2776"/>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2E9C"/>
    <w:rsid w:val="00534506"/>
    <w:rsid w:val="005355CF"/>
    <w:rsid w:val="00537163"/>
    <w:rsid w:val="00540CB9"/>
    <w:rsid w:val="00543DCE"/>
    <w:rsid w:val="00555431"/>
    <w:rsid w:val="00555C59"/>
    <w:rsid w:val="00556327"/>
    <w:rsid w:val="00556FCA"/>
    <w:rsid w:val="00563F37"/>
    <w:rsid w:val="00570113"/>
    <w:rsid w:val="00573A15"/>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6A67"/>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649B6"/>
    <w:rsid w:val="00870A7A"/>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3E5"/>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75A2"/>
    <w:rsid w:val="00E5168D"/>
    <w:rsid w:val="00E51F45"/>
    <w:rsid w:val="00E571B5"/>
    <w:rsid w:val="00E601D9"/>
    <w:rsid w:val="00E61008"/>
    <w:rsid w:val="00E62594"/>
    <w:rsid w:val="00E632DA"/>
    <w:rsid w:val="00E639C0"/>
    <w:rsid w:val="00E63EE3"/>
    <w:rsid w:val="00E65D65"/>
    <w:rsid w:val="00E6776B"/>
    <w:rsid w:val="00E67874"/>
    <w:rsid w:val="00E707B8"/>
    <w:rsid w:val="00E715A0"/>
    <w:rsid w:val="00E724BA"/>
    <w:rsid w:val="00E725FF"/>
    <w:rsid w:val="00E72C72"/>
    <w:rsid w:val="00E7563C"/>
    <w:rsid w:val="00E82673"/>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BE"/>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2CA0-2335-4C7E-837D-1FC9536B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46</Pages>
  <Words>22398</Words>
  <Characters>123191</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14</cp:revision>
  <cp:lastPrinted>2018-01-16T15:48:00Z</cp:lastPrinted>
  <dcterms:created xsi:type="dcterms:W3CDTF">2019-04-09T15:29:00Z</dcterms:created>
  <dcterms:modified xsi:type="dcterms:W3CDTF">2019-05-18T17:24:00Z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