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6B7437">
        <w:rPr>
          <w:rFonts w:ascii="Arial" w:hAnsi="Arial" w:cs="Arial"/>
          <w:spacing w:val="-3"/>
          <w:sz w:val="22"/>
          <w:szCs w:val="22"/>
          <w:lang w:val="es-ES_tradnl"/>
        </w:rPr>
        <w:t>clausula</w:t>
      </w:r>
      <w:proofErr w:type="spellEnd"/>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w:t>
      </w:r>
      <w:proofErr w:type="spellStart"/>
      <w:r w:rsidRPr="006B7437">
        <w:rPr>
          <w:rFonts w:ascii="Arial" w:hAnsi="Arial" w:cs="Arial"/>
          <w:spacing w:val="-3"/>
          <w:sz w:val="22"/>
          <w:szCs w:val="22"/>
          <w:lang w:val="es-ES_tradnl"/>
        </w:rPr>
        <w:t>contrarecibos</w:t>
      </w:r>
      <w:proofErr w:type="spellEnd"/>
      <w:r w:rsidRPr="006B7437">
        <w:rPr>
          <w:rFonts w:ascii="Arial" w:hAnsi="Arial" w:cs="Arial"/>
          <w:spacing w:val="-3"/>
          <w:sz w:val="22"/>
          <w:szCs w:val="22"/>
          <w:lang w:val="es-ES_tradnl"/>
        </w:rPr>
        <w:t xml:space="preserve">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0F6690" w:rsidRDefault="000F6690" w:rsidP="000F6690">
      <w:pPr>
        <w:widowControl/>
        <w:numPr>
          <w:ilvl w:val="0"/>
          <w:numId w:val="24"/>
        </w:numPr>
        <w:tabs>
          <w:tab w:val="left" w:pos="580"/>
        </w:tabs>
        <w:spacing w:line="233" w:lineRule="auto"/>
        <w:ind w:left="580" w:hanging="445"/>
        <w:rPr>
          <w:rFonts w:ascii="Times New Roman" w:hAnsi="Times New Roman"/>
        </w:rPr>
      </w:pPr>
      <w:r>
        <w:rPr>
          <w:rFonts w:ascii="Times New Roman" w:hAnsi="Times New Roman"/>
        </w:rPr>
        <w:t>El 3% del monto de los trabajos contratados, como derechos por el Servicio de Vigilancia, Inspección y Control de la Secretaria de Transparencia y Rendición de Cuentas de Gobierno del Estado de Sinaloa.</w:t>
      </w:r>
    </w:p>
    <w:p w:rsidR="000F6690" w:rsidRDefault="000F6690" w:rsidP="000F6690">
      <w:pPr>
        <w:spacing w:line="127" w:lineRule="exact"/>
        <w:rPr>
          <w:rFonts w:ascii="Times New Roman" w:hAnsi="Times New Roman"/>
        </w:rPr>
      </w:pPr>
    </w:p>
    <w:p w:rsidR="000F6690" w:rsidRDefault="000F6690" w:rsidP="000F6690">
      <w:pPr>
        <w:widowControl/>
        <w:numPr>
          <w:ilvl w:val="0"/>
          <w:numId w:val="24"/>
        </w:numPr>
        <w:tabs>
          <w:tab w:val="left" w:pos="500"/>
        </w:tabs>
        <w:spacing w:line="237" w:lineRule="auto"/>
        <w:ind w:left="500" w:hanging="365"/>
        <w:jc w:val="both"/>
        <w:rPr>
          <w:rFonts w:ascii="Times New Roman" w:hAnsi="Times New Roman"/>
        </w:rPr>
      </w:pPr>
      <w:r>
        <w:rPr>
          <w:rFonts w:ascii="Times New Roman" w:hAnsi="Times New Roman"/>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bookmarkStart w:id="0" w:name="_GoBack"/>
      <w:bookmarkEnd w:id="0"/>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475946">
      <w:rPr>
        <w:rFonts w:ascii="Times New Roman" w:hAnsi="Times New Roman"/>
        <w:noProof/>
        <w:sz w:val="18"/>
        <w:lang w:val="es-MX"/>
      </w:rPr>
      <w:t>2</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475946">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60288"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84E1C"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5F073D" w:rsidRPr="005F073D">
      <w:rPr>
        <w:rFonts w:ascii="Arial" w:hAnsi="Arial" w:cs="Arial"/>
        <w:b/>
        <w:sz w:val="18"/>
        <w:lang w:val="es-MX"/>
      </w:rPr>
      <w:t>FISMDF-DOSP-LP-      -20</w:t>
    </w:r>
    <w:r w:rsidR="00475946">
      <w:rPr>
        <w:rFonts w:ascii="Arial" w:hAnsi="Arial" w:cs="Arial"/>
        <w:b/>
        <w:sz w:val="18"/>
        <w:lang w:val="es-MX"/>
      </w:rPr>
      <w:t>20</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5946"/>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6C42-589C-4A9B-88FD-14CFB5D5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6048</Words>
  <Characters>33266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cp:lastModifiedBy>
  <cp:revision>30</cp:revision>
  <cp:lastPrinted>2016-10-14T18:21:00Z</cp:lastPrinted>
  <dcterms:created xsi:type="dcterms:W3CDTF">2016-10-14T18:23:00Z</dcterms:created>
  <dcterms:modified xsi:type="dcterms:W3CDTF">2020-08-13T14:20:00Z</dcterms:modified>
</cp:coreProperties>
</file>