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ALC-F</w:t>
      </w:r>
      <w:r w:rsidR="00F709E8">
        <w:rPr>
          <w:rFonts w:ascii="Helvetica" w:hAnsi="Helvetica" w:cs="Helvetica"/>
          <w:b/>
          <w:bCs/>
          <w:i w:val="0"/>
        </w:rPr>
        <w:t>ISE</w:t>
      </w:r>
      <w:r w:rsidR="00A83E44">
        <w:rPr>
          <w:rFonts w:ascii="Helvetica" w:hAnsi="Helvetica" w:cs="Helvetica"/>
          <w:b/>
          <w:bCs/>
          <w:i w:val="0"/>
        </w:rPr>
        <w:t>-001-201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490F33">
        <w:rPr>
          <w:rFonts w:cs="Arial"/>
          <w:b/>
          <w:sz w:val="22"/>
          <w:szCs w:val="22"/>
        </w:rPr>
        <w:t>AMPLIACION DE SISTEMA DE ALCANTARILLADO EN CALLEJONES  PARA LA LOCALIDAD DE PUEBLO NUEVO,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SDA/FISE/0018a/2019</w:t>
      </w:r>
      <w:r w:rsidR="00FD7A93">
        <w:rPr>
          <w:rFonts w:ascii="Helvetica" w:hAnsi="Helvetica"/>
          <w:i w:val="0"/>
          <w:spacing w:val="-3"/>
          <w:lang w:val="es-ES_tradnl"/>
        </w:rPr>
        <w:t xml:space="preserve"> de fecha </w:t>
      </w:r>
      <w:r w:rsidR="00F75908">
        <w:rPr>
          <w:rFonts w:ascii="Helvetica" w:hAnsi="Helvetica"/>
          <w:i w:val="0"/>
          <w:spacing w:val="-3"/>
          <w:lang w:val="es-ES_tradnl"/>
        </w:rPr>
        <w:t>13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B24888">
        <w:rPr>
          <w:rFonts w:cs="Arial"/>
          <w:b/>
          <w:sz w:val="22"/>
          <w:szCs w:val="22"/>
        </w:rPr>
        <w:t>AMPLIACION DE SISTEMA DE ALCANTARILLADO EN CALLEJONES  PARA LA LOCALIDAD DE PUEBLO NUEVO</w:t>
      </w:r>
      <w:r w:rsidR="00B24888"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F75908">
        <w:rPr>
          <w:rFonts w:ascii="Helvetica" w:hAnsi="Helvetica" w:cs="Arial"/>
          <w:b/>
          <w:i w:val="0"/>
        </w:rPr>
        <w:t>15</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FD7A93">
        <w:rPr>
          <w:rFonts w:ascii="Helvetica" w:hAnsi="Helvetica" w:cs="Arial"/>
          <w:b/>
          <w:i w:val="0"/>
          <w:noProof/>
        </w:rPr>
        <w:t>1</w:t>
      </w:r>
      <w:r w:rsidR="00B24888">
        <w:rPr>
          <w:rFonts w:ascii="Helvetica" w:hAnsi="Helvetica" w:cs="Arial"/>
          <w:b/>
          <w:i w:val="0"/>
          <w:noProof/>
        </w:rPr>
        <w:t>4</w:t>
      </w:r>
      <w:r w:rsidR="00FD7A93">
        <w:rPr>
          <w:rFonts w:ascii="Helvetica" w:hAnsi="Helvetica" w:cs="Arial"/>
          <w:b/>
          <w:i w:val="0"/>
          <w:noProof/>
        </w:rPr>
        <w:t xml:space="preserve"> </w:t>
      </w:r>
      <w:r w:rsidRPr="00B52AD9">
        <w:rPr>
          <w:rFonts w:ascii="Helvetica" w:hAnsi="Helvetica" w:cs="Arial"/>
          <w:b/>
          <w:i w:val="0"/>
          <w:noProof/>
        </w:rPr>
        <w:t xml:space="preserve">de </w:t>
      </w:r>
      <w:r w:rsidR="00B24888">
        <w:rPr>
          <w:rFonts w:ascii="Helvetica" w:hAnsi="Helvetica" w:cs="Arial"/>
          <w:b/>
          <w:i w:val="0"/>
          <w:noProof/>
        </w:rPr>
        <w:t>septiembre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B24888">
        <w:rPr>
          <w:rFonts w:ascii="Helvetica" w:hAnsi="Helvetica" w:cs="Arial"/>
          <w:b/>
          <w:i w:val="0"/>
          <w:noProof/>
        </w:rPr>
        <w:t>62</w:t>
      </w:r>
      <w:r w:rsidR="00131CEF">
        <w:rPr>
          <w:rFonts w:ascii="Helvetica" w:hAnsi="Helvetica" w:cs="Arial"/>
          <w:b/>
          <w:i w:val="0"/>
          <w:noProof/>
        </w:rPr>
        <w:t xml:space="preserve"> (</w:t>
      </w:r>
      <w:r w:rsidR="00F75908">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264578">
        <w:rPr>
          <w:rFonts w:ascii="Helvetica" w:hAnsi="Helvetica" w:cs="Arial"/>
          <w:b/>
          <w:i w:val="0"/>
        </w:rPr>
        <w:t>2</w:t>
      </w:r>
      <w:r w:rsidR="00F75908">
        <w:rPr>
          <w:rFonts w:ascii="Helvetica" w:hAnsi="Helvetica" w:cs="Arial"/>
          <w:b/>
          <w:i w:val="0"/>
        </w:rPr>
        <w:t>5</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Junio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13</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1069C8">
        <w:rPr>
          <w:rFonts w:ascii="Helvetica" w:hAnsi="Helvetica" w:cs="Arial"/>
          <w:b/>
          <w:i w:val="0"/>
        </w:rPr>
        <w:t>28</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Junio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DC76D9">
        <w:rPr>
          <w:rFonts w:ascii="Helvetica" w:hAnsi="Helvetica" w:cs="Arial"/>
          <w:b/>
          <w:i w:val="0"/>
        </w:rPr>
        <w:t>1</w:t>
      </w:r>
      <w:r w:rsidR="00B24888">
        <w:rPr>
          <w:rFonts w:ascii="Helvetica" w:hAnsi="Helvetica" w:cs="Arial"/>
          <w:b/>
          <w:i w:val="0"/>
        </w:rPr>
        <w:t>2</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B24888">
        <w:rPr>
          <w:rFonts w:ascii="Helvetica" w:hAnsi="Helvetica" w:cs="Arial"/>
          <w:b/>
          <w:i w:val="0"/>
          <w:noProof/>
        </w:rPr>
        <w:t>3</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135B3E">
        <w:rPr>
          <w:rFonts w:ascii="Helvetica" w:hAnsi="Helvetica" w:cs="Arial"/>
          <w:b/>
          <w:i w:val="0"/>
          <w:noProof/>
        </w:rPr>
        <w:t>0</w:t>
      </w:r>
      <w:r w:rsidR="001069C8">
        <w:rPr>
          <w:rFonts w:ascii="Helvetica" w:hAnsi="Helvetica" w:cs="Arial"/>
          <w:b/>
          <w:i w:val="0"/>
          <w:noProof/>
        </w:rPr>
        <w:t>8</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21711E">
        <w:rPr>
          <w:rFonts w:ascii="Helvetica" w:hAnsi="Helvetica"/>
          <w:i w:val="0"/>
        </w:rPr>
        <w:t>18</w:t>
      </w:r>
      <w:r w:rsidR="00622A85" w:rsidRPr="007B2841">
        <w:rPr>
          <w:rFonts w:ascii="Helvetica" w:hAnsi="Helvetica"/>
          <w:i w:val="0"/>
        </w:rPr>
        <w:t xml:space="preserve"> de </w:t>
      </w:r>
      <w:r w:rsidR="000742A5">
        <w:rPr>
          <w:rFonts w:ascii="Helvetica" w:hAnsi="Helvetica"/>
          <w:i w:val="0"/>
        </w:rPr>
        <w:t>Junio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8F" w:rsidRDefault="008D6C8F" w:rsidP="0032639B">
      <w:r>
        <w:separator/>
      </w:r>
    </w:p>
  </w:endnote>
  <w:endnote w:type="continuationSeparator" w:id="1">
    <w:p w:rsidR="008D6C8F" w:rsidRDefault="008D6C8F"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490F33" w:rsidRDefault="00490F33">
            <w:pPr>
              <w:pStyle w:val="Piedepgina"/>
              <w:jc w:val="center"/>
            </w:pPr>
            <w:r>
              <w:t>__________________</w:t>
            </w:r>
          </w:p>
          <w:p w:rsidR="00490F33" w:rsidRDefault="00490F33">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F5AAC">
              <w:rPr>
                <w:bCs/>
                <w:noProof/>
                <w:sz w:val="16"/>
                <w:szCs w:val="16"/>
              </w:rPr>
              <w:t>51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F5AAC">
              <w:rPr>
                <w:bCs/>
                <w:noProof/>
                <w:sz w:val="16"/>
                <w:szCs w:val="16"/>
              </w:rPr>
              <w:t>51</w:t>
            </w:r>
            <w:r w:rsidRPr="0032639B">
              <w:rPr>
                <w:bCs/>
                <w:sz w:val="16"/>
                <w:szCs w:val="16"/>
              </w:rPr>
              <w:fldChar w:fldCharType="end"/>
            </w:r>
          </w:p>
        </w:sdtContent>
      </w:sdt>
    </w:sdtContent>
  </w:sdt>
  <w:p w:rsidR="00490F33" w:rsidRDefault="00490F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8F" w:rsidRDefault="008D6C8F" w:rsidP="0032639B">
      <w:r>
        <w:separator/>
      </w:r>
    </w:p>
  </w:footnote>
  <w:footnote w:type="continuationSeparator" w:id="1">
    <w:p w:rsidR="008D6C8F" w:rsidRDefault="008D6C8F"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490F33" w:rsidTr="0000115E">
      <w:trPr>
        <w:trHeight w:val="881"/>
      </w:trPr>
      <w:tc>
        <w:tcPr>
          <w:tcW w:w="3402" w:type="dxa"/>
          <w:tcBorders>
            <w:right w:val="single" w:sz="4" w:space="0" w:color="auto"/>
          </w:tcBorders>
        </w:tcPr>
        <w:p w:rsidR="00490F33" w:rsidRDefault="00490F33" w:rsidP="00DC7555">
          <w:pPr>
            <w:pStyle w:val="Encabezado"/>
            <w:jc w:val="right"/>
            <w:rPr>
              <w:rFonts w:ascii="Helvetica" w:hAnsi="Helvetica"/>
              <w:i w:val="0"/>
              <w:sz w:val="16"/>
              <w:szCs w:val="16"/>
            </w:rPr>
          </w:pPr>
        </w:p>
        <w:p w:rsidR="00490F33" w:rsidRDefault="00490F33" w:rsidP="00DC7555">
          <w:pPr>
            <w:pStyle w:val="Encabezado"/>
            <w:jc w:val="right"/>
            <w:rPr>
              <w:rFonts w:ascii="Helvetica" w:hAnsi="Helvetica"/>
              <w:i w:val="0"/>
              <w:sz w:val="16"/>
              <w:szCs w:val="16"/>
            </w:rPr>
          </w:pPr>
        </w:p>
        <w:p w:rsidR="00490F33" w:rsidRDefault="00490F33" w:rsidP="00DC7555">
          <w:pPr>
            <w:pStyle w:val="Encabezado"/>
            <w:jc w:val="right"/>
            <w:rPr>
              <w:rFonts w:ascii="Helvetica" w:hAnsi="Helvetica"/>
              <w:i w:val="0"/>
              <w:sz w:val="16"/>
              <w:szCs w:val="16"/>
            </w:rPr>
          </w:pPr>
        </w:p>
        <w:p w:rsidR="00490F33" w:rsidRDefault="00490F33" w:rsidP="00DC7555">
          <w:pPr>
            <w:pStyle w:val="Encabezado"/>
            <w:jc w:val="right"/>
            <w:rPr>
              <w:rFonts w:ascii="Helvetica" w:hAnsi="Helvetica"/>
              <w:b/>
              <w:i w:val="0"/>
              <w:sz w:val="16"/>
              <w:szCs w:val="16"/>
            </w:rPr>
          </w:pPr>
        </w:p>
        <w:p w:rsidR="00490F33" w:rsidRPr="003617A0" w:rsidRDefault="00490F33"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490F33" w:rsidRPr="001D630B" w:rsidRDefault="00490F33"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JAPAME-ELO-IR-ALC-FISE-002-2019</w:t>
          </w:r>
        </w:p>
        <w:p w:rsidR="00490F33" w:rsidRPr="00490F33" w:rsidRDefault="00490F33"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INVITACIONA ACUANDO MENOS TRES PERSONAS ES</w:t>
          </w:r>
          <w:r w:rsidRPr="001D630B">
            <w:rPr>
              <w:rFonts w:ascii="Helvetica" w:hAnsi="Helvetica" w:cs="Helvetica"/>
              <w:b/>
              <w:i w:val="0"/>
              <w:sz w:val="16"/>
              <w:szCs w:val="16"/>
            </w:rPr>
            <w:t>TATAL No.:</w:t>
          </w:r>
          <w:r>
            <w:rPr>
              <w:rFonts w:ascii="Helvetica" w:hAnsi="Helvetica" w:cs="Helvetica"/>
              <w:i w:val="0"/>
              <w:sz w:val="16"/>
              <w:szCs w:val="16"/>
            </w:rPr>
            <w:t>002</w:t>
          </w:r>
        </w:p>
        <w:p w:rsidR="00490F33" w:rsidRPr="00490F33" w:rsidRDefault="00490F33" w:rsidP="00DC7555">
          <w:pPr>
            <w:pStyle w:val="Encabezado"/>
            <w:jc w:val="both"/>
            <w:rPr>
              <w:rFonts w:cs="Arial"/>
              <w:bCs/>
              <w:sz w:val="16"/>
              <w:szCs w:val="16"/>
            </w:rPr>
          </w:pPr>
          <w:r w:rsidRPr="00490F33">
            <w:rPr>
              <w:rFonts w:cs="Arial"/>
              <w:i w:val="0"/>
              <w:sz w:val="16"/>
              <w:szCs w:val="16"/>
            </w:rPr>
            <w:t xml:space="preserve">OBRA PÚBLICA: </w:t>
          </w:r>
          <w:r w:rsidRPr="00490F33">
            <w:rPr>
              <w:rFonts w:cs="Arial"/>
              <w:sz w:val="16"/>
              <w:szCs w:val="16"/>
            </w:rPr>
            <w:t>AMPLIACION DE SISTEMA DE ALCANTARILLADO EN CALLEJONES  PARA LA LOCALIDAD DE PUEBLO NUEVO, MUNICIPIO DE ELOTA, ESTADO DE SINALOA</w:t>
          </w:r>
        </w:p>
        <w:p w:rsidR="00490F33" w:rsidRPr="00084E2E" w:rsidRDefault="00490F33" w:rsidP="00906100">
          <w:pPr>
            <w:pStyle w:val="Encabezado"/>
            <w:rPr>
              <w:rFonts w:ascii="Helvetica" w:hAnsi="Helvetica" w:cs="Helvetica"/>
              <w:i w:val="0"/>
              <w:sz w:val="16"/>
              <w:szCs w:val="16"/>
            </w:rPr>
          </w:pPr>
        </w:p>
      </w:tc>
    </w:tr>
  </w:tbl>
  <w:p w:rsidR="00490F33" w:rsidRPr="000B4734" w:rsidRDefault="00490F33"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59FC"/>
    <w:rsid w:val="008A6015"/>
    <w:rsid w:val="008A67A6"/>
    <w:rsid w:val="008A6B72"/>
    <w:rsid w:val="008B387C"/>
    <w:rsid w:val="008C0065"/>
    <w:rsid w:val="008C4CD1"/>
    <w:rsid w:val="008C5784"/>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964-F563-4A7E-8144-32C5129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51</Pages>
  <Words>24526</Words>
  <Characters>134893</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27</cp:revision>
  <cp:lastPrinted>2018-06-22T16:54:00Z</cp:lastPrinted>
  <dcterms:created xsi:type="dcterms:W3CDTF">2018-05-18T18:11:00Z</dcterms:created>
  <dcterms:modified xsi:type="dcterms:W3CDTF">2019-06-18T01:05:00Z</dcterms:modified>
</cp:coreProperties>
</file>